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407A" w:rsidRDefault="00F5407A" w:rsidP="00F5407A">
      <w:pPr>
        <w:jc w:val="left"/>
      </w:pPr>
      <w:r>
        <w:t xml:space="preserve">Ce travail a porté sur la synthèse,  la caractérisation physico-chimique et les propriétés catalytiques des </w:t>
      </w:r>
      <w:proofErr w:type="spellStart"/>
      <w:r>
        <w:t>hétéropolysels</w:t>
      </w:r>
      <w:proofErr w:type="spellEnd"/>
      <w:r>
        <w:t xml:space="preserve">  </w:t>
      </w:r>
      <w:proofErr w:type="spellStart"/>
      <w:r>
        <w:t>phosphomolybdiques</w:t>
      </w:r>
      <w:proofErr w:type="spellEnd"/>
      <w:r>
        <w:t xml:space="preserve"> de type </w:t>
      </w:r>
      <w:proofErr w:type="spellStart"/>
      <w:r>
        <w:t>Keggin</w:t>
      </w:r>
      <w:proofErr w:type="spellEnd"/>
      <w:r>
        <w:t xml:space="preserve">, de formule H3-2xNixPMo12O40 (x=0-1,5), noté  NixPMo12. La réaction examinée est la  synthèse  de l'acide adipique en phase liquide à partir de l'oxydation du </w:t>
      </w:r>
      <w:proofErr w:type="spellStart"/>
      <w:r>
        <w:t>cyclohexanol</w:t>
      </w:r>
      <w:proofErr w:type="spellEnd"/>
      <w:r>
        <w:t xml:space="preserve">, de la </w:t>
      </w:r>
      <w:proofErr w:type="spellStart"/>
      <w:r>
        <w:t>cyclohexanone</w:t>
      </w:r>
      <w:proofErr w:type="spellEnd"/>
      <w:r>
        <w:t xml:space="preserve"> et du mélange </w:t>
      </w:r>
      <w:proofErr w:type="spellStart"/>
      <w:r>
        <w:t>cyclohexanol</w:t>
      </w:r>
      <w:proofErr w:type="spellEnd"/>
      <w:r>
        <w:t xml:space="preserve">- </w:t>
      </w:r>
      <w:proofErr w:type="spellStart"/>
      <w:r>
        <w:t>cyclohexanone</w:t>
      </w:r>
      <w:proofErr w:type="spellEnd"/>
      <w:r>
        <w:t xml:space="preserve"> en présence de peroxyde d'hydrogène et en absence de solvant.</w:t>
      </w:r>
    </w:p>
    <w:p w:rsidR="00F5407A" w:rsidRDefault="00F5407A" w:rsidP="00F5407A">
      <w:pPr>
        <w:jc w:val="left"/>
      </w:pPr>
      <w:r>
        <w:t xml:space="preserve">Les caractérisations  physico-chimiques ont montré </w:t>
      </w:r>
      <w:proofErr w:type="gramStart"/>
      <w:r>
        <w:t>qu' en</w:t>
      </w:r>
      <w:proofErr w:type="gramEnd"/>
      <w:r>
        <w:t xml:space="preserve"> spectroscopie IR, les différentes bandes de vibration des liaisons phosphore-oxygène et métal-oxygène  de l'anion de </w:t>
      </w:r>
      <w:proofErr w:type="spellStart"/>
      <w:r>
        <w:t>Keggin</w:t>
      </w:r>
      <w:proofErr w:type="spellEnd"/>
      <w:r>
        <w:t xml:space="preserve"> [PMo12O40]3- ont été observées pour l'ensemble des sels confirmant que les ions Ni(II) sont en position de </w:t>
      </w:r>
      <w:proofErr w:type="spellStart"/>
      <w:r>
        <w:t>contre-ion</w:t>
      </w:r>
      <w:proofErr w:type="spellEnd"/>
      <w:r>
        <w:t xml:space="preserve"> dans le POM. Les spectres UV-Visible de l'acide H3PMo12 et du sel Ni1</w:t>
      </w:r>
      <w:proofErr w:type="gramStart"/>
      <w:r>
        <w:t>,5PMo12</w:t>
      </w:r>
      <w:proofErr w:type="gramEnd"/>
      <w:r>
        <w:t xml:space="preserve"> présentent une large bande d'absorption dans la région 250-500 nm attribuée à un de transfert de charge oxygène-molybdène (VI). Les </w:t>
      </w:r>
      <w:proofErr w:type="spellStart"/>
      <w:r>
        <w:t>diffractogrammes</w:t>
      </w:r>
      <w:proofErr w:type="spellEnd"/>
      <w:r>
        <w:t xml:space="preserve">  RX des sels  H3-2xNixPMo12O40 sont </w:t>
      </w:r>
      <w:proofErr w:type="spellStart"/>
      <w:r>
        <w:t>isotypes</w:t>
      </w:r>
      <w:proofErr w:type="spellEnd"/>
      <w:r>
        <w:t xml:space="preserve"> de celui  de l'acide H3PMo12 indiquant que les sels cristallisent également dans un système triclinique. Les </w:t>
      </w:r>
      <w:proofErr w:type="spellStart"/>
      <w:r>
        <w:t>thermogrammes</w:t>
      </w:r>
      <w:proofErr w:type="spellEnd"/>
      <w:r>
        <w:t xml:space="preserve">  des sels sont similaires à celui de l'acide  H3PMo12O40, 13H2O. La perte de masse correspondant  à l'eau de constitution a permis de déterminer la valeur x.  Les formules théoriques proposées sont en  bon accord avec les résultats expérimentaux obtenus, confirmant  ainsi la fiabilité de la méthode de synthèse, par échange cationique, utilisée  dans ce travail. </w:t>
      </w:r>
    </w:p>
    <w:p w:rsidR="00F5407A" w:rsidRDefault="00F5407A" w:rsidP="00F5407A">
      <w:pPr>
        <w:jc w:val="left"/>
      </w:pPr>
      <w:r>
        <w:t xml:space="preserve">Les tests catalytiques des </w:t>
      </w:r>
      <w:proofErr w:type="spellStart"/>
      <w:r>
        <w:t>POMs</w:t>
      </w:r>
      <w:proofErr w:type="spellEnd"/>
      <w:r>
        <w:t xml:space="preserve">, réalisés dans la synthèse de l'acide adipique ont montré que les conditions opératoires suivantes sont celles qui conduisent au rendement le plus élevé en acide adipique: une  masse de catalyseur de 0,125g, une  vitesse d'agitation du mélange réactionnel de  800t/min et un temps d'agitation de 20h. Les résultats catalytiques ont  montré deux séries de catalyseurs, celle qui favorise la formation de l'AA à partir de l'oxydation de la </w:t>
      </w:r>
      <w:proofErr w:type="spellStart"/>
      <w:r>
        <w:t>cyclohexanone</w:t>
      </w:r>
      <w:proofErr w:type="spellEnd"/>
      <w:r>
        <w:t xml:space="preserve"> (one) comme dans le cas de Ni0.25 PMo12 Ni0.5PMo12  et Ni1PMo12O40 et celle qui favorise la formation de l'AA à partir de l'oxydation du </w:t>
      </w:r>
      <w:proofErr w:type="spellStart"/>
      <w:r>
        <w:t>cyclohexanol</w:t>
      </w:r>
      <w:proofErr w:type="spellEnd"/>
      <w:r>
        <w:t xml:space="preserve"> (</w:t>
      </w:r>
      <w:proofErr w:type="spellStart"/>
      <w:r>
        <w:t>ol</w:t>
      </w:r>
      <w:proofErr w:type="spellEnd"/>
      <w:r>
        <w:t xml:space="preserve">)  comme dans le cas de H3PMo12, </w:t>
      </w:r>
      <w:proofErr w:type="gramStart"/>
      <w:r>
        <w:t>Ni0.75PMo12 ,</w:t>
      </w:r>
      <w:proofErr w:type="gramEnd"/>
      <w:r>
        <w:t xml:space="preserve"> Ni1,25 PMo12 et </w:t>
      </w:r>
      <w:r>
        <w:lastRenderedPageBreak/>
        <w:t xml:space="preserve">Ni1,5PMo12. Ces résultats mettent en évidence l'influence de la valeur de x sur l'action catalytique du matériau, H3-2xNixPMo12, dans l'oxydation </w:t>
      </w:r>
      <w:proofErr w:type="gramStart"/>
      <w:r>
        <w:t xml:space="preserve">du </w:t>
      </w:r>
      <w:proofErr w:type="spellStart"/>
      <w:r>
        <w:t>ol</w:t>
      </w:r>
      <w:proofErr w:type="spellEnd"/>
      <w:proofErr w:type="gramEnd"/>
      <w:r>
        <w:t xml:space="preserve"> ou de la one en acide adipique et la difficulté de trouver une corrélation entre tous ces paramètres. Parmi les différents </w:t>
      </w:r>
      <w:proofErr w:type="spellStart"/>
      <w:r>
        <w:t>POMs</w:t>
      </w:r>
      <w:proofErr w:type="spellEnd"/>
      <w:r>
        <w:t xml:space="preserve">, Ni1.5PMo12est le plus actif dans l'oxydation du </w:t>
      </w:r>
      <w:proofErr w:type="spellStart"/>
      <w:r>
        <w:t>ol</w:t>
      </w:r>
      <w:proofErr w:type="spellEnd"/>
      <w:r>
        <w:t xml:space="preserve"> avec 27,63% de rendement en AA et Ni0.25PMo12, le plus actif dans l'oxydation de </w:t>
      </w:r>
      <w:proofErr w:type="gramStart"/>
      <w:r>
        <w:t>la one</w:t>
      </w:r>
      <w:proofErr w:type="gramEnd"/>
      <w:r>
        <w:t xml:space="preserve"> avec 33,46% de rendement en AA. L'oxydation du mélange (</w:t>
      </w:r>
      <w:proofErr w:type="spellStart"/>
      <w:r>
        <w:t>ol</w:t>
      </w:r>
      <w:proofErr w:type="spellEnd"/>
      <w:r>
        <w:t xml:space="preserve">/one), avec différents rapports, réalisée en présence du catalyseur Ni0.25PMo12 a montré que l'ajout de l'alcool dans le mélange réactionnel diminue le rendement en AA de 33,46 à 27,37% lorsque 50% de </w:t>
      </w:r>
      <w:proofErr w:type="spellStart"/>
      <w:r>
        <w:t>cyclohexanol</w:t>
      </w:r>
      <w:proofErr w:type="spellEnd"/>
      <w:r>
        <w:t xml:space="preserve"> sont ajoutés à la </w:t>
      </w:r>
      <w:proofErr w:type="spellStart"/>
      <w:r>
        <w:t>cyclohexanone</w:t>
      </w:r>
      <w:proofErr w:type="spellEnd"/>
      <w:r>
        <w:t xml:space="preserve">. </w:t>
      </w:r>
    </w:p>
    <w:p w:rsidR="004B6F55" w:rsidRPr="00F5407A" w:rsidRDefault="00F5407A" w:rsidP="00F5407A">
      <w:pPr>
        <w:jc w:val="left"/>
      </w:pPr>
      <w:r>
        <w:t xml:space="preserve">Cette étude a montré l'efficacité des </w:t>
      </w:r>
      <w:proofErr w:type="spellStart"/>
      <w:r>
        <w:t>polyoxométallates</w:t>
      </w:r>
      <w:proofErr w:type="spellEnd"/>
      <w:r>
        <w:t xml:space="preserve"> H3-2xNixPMo12 dans la synthèse de l'acide adipique dans des conditions opératoires qui entrent dans le domaine de la " chimie verte " avec l'eau oxygénée comme oxydant et en absence de solvant.</w:t>
      </w:r>
    </w:p>
    <w:sectPr w:rsidR="004B6F55" w:rsidRPr="00F5407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nsid w:val="71824AE2"/>
    <w:multiLevelType w:val="hybridMultilevel"/>
    <w:tmpl w:val="A82648DE"/>
    <w:lvl w:ilvl="0" w:tplc="1116C71E">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207B6"/>
    <w:rsid w:val="00126893"/>
    <w:rsid w:val="001377D0"/>
    <w:rsid w:val="00144FCE"/>
    <w:rsid w:val="001A0B89"/>
    <w:rsid w:val="001C3BA2"/>
    <w:rsid w:val="001F66FA"/>
    <w:rsid w:val="00200E30"/>
    <w:rsid w:val="002214A4"/>
    <w:rsid w:val="002701CD"/>
    <w:rsid w:val="00280B15"/>
    <w:rsid w:val="002C3E8D"/>
    <w:rsid w:val="0031162A"/>
    <w:rsid w:val="00311E08"/>
    <w:rsid w:val="00321F52"/>
    <w:rsid w:val="00331277"/>
    <w:rsid w:val="00333638"/>
    <w:rsid w:val="00334D8A"/>
    <w:rsid w:val="0034258A"/>
    <w:rsid w:val="003A796B"/>
    <w:rsid w:val="003D2F35"/>
    <w:rsid w:val="003E69F6"/>
    <w:rsid w:val="003F310A"/>
    <w:rsid w:val="004174DD"/>
    <w:rsid w:val="00423431"/>
    <w:rsid w:val="00426714"/>
    <w:rsid w:val="00434F66"/>
    <w:rsid w:val="004362AA"/>
    <w:rsid w:val="00437558"/>
    <w:rsid w:val="00491D7D"/>
    <w:rsid w:val="00493F8B"/>
    <w:rsid w:val="004B6F55"/>
    <w:rsid w:val="004D4A4F"/>
    <w:rsid w:val="004D6F79"/>
    <w:rsid w:val="00521727"/>
    <w:rsid w:val="00523A64"/>
    <w:rsid w:val="00553FDF"/>
    <w:rsid w:val="00565AA9"/>
    <w:rsid w:val="00573BFD"/>
    <w:rsid w:val="005854F9"/>
    <w:rsid w:val="005B0926"/>
    <w:rsid w:val="005B6953"/>
    <w:rsid w:val="005F22D0"/>
    <w:rsid w:val="005F47AF"/>
    <w:rsid w:val="005F5447"/>
    <w:rsid w:val="00621E36"/>
    <w:rsid w:val="0062768E"/>
    <w:rsid w:val="00637238"/>
    <w:rsid w:val="0064100C"/>
    <w:rsid w:val="0067011E"/>
    <w:rsid w:val="006704C5"/>
    <w:rsid w:val="006B2934"/>
    <w:rsid w:val="006C36A5"/>
    <w:rsid w:val="006E3B5F"/>
    <w:rsid w:val="007410E4"/>
    <w:rsid w:val="00751822"/>
    <w:rsid w:val="00753AE2"/>
    <w:rsid w:val="0076763E"/>
    <w:rsid w:val="00767D68"/>
    <w:rsid w:val="0079719E"/>
    <w:rsid w:val="007A7F5D"/>
    <w:rsid w:val="007B11D7"/>
    <w:rsid w:val="007B763D"/>
    <w:rsid w:val="0080117F"/>
    <w:rsid w:val="008219D2"/>
    <w:rsid w:val="00864C32"/>
    <w:rsid w:val="008675C1"/>
    <w:rsid w:val="00893F32"/>
    <w:rsid w:val="008B160F"/>
    <w:rsid w:val="00906711"/>
    <w:rsid w:val="009431AD"/>
    <w:rsid w:val="0098449A"/>
    <w:rsid w:val="009B4078"/>
    <w:rsid w:val="009C0E77"/>
    <w:rsid w:val="009D0F83"/>
    <w:rsid w:val="009E217B"/>
    <w:rsid w:val="009E33B6"/>
    <w:rsid w:val="00A53F06"/>
    <w:rsid w:val="00A555F6"/>
    <w:rsid w:val="00A806AE"/>
    <w:rsid w:val="00A870F9"/>
    <w:rsid w:val="00A942A1"/>
    <w:rsid w:val="00AA61CD"/>
    <w:rsid w:val="00AB29CA"/>
    <w:rsid w:val="00AB5276"/>
    <w:rsid w:val="00AD52D6"/>
    <w:rsid w:val="00AE1983"/>
    <w:rsid w:val="00AE4A8A"/>
    <w:rsid w:val="00B23BE0"/>
    <w:rsid w:val="00B3099D"/>
    <w:rsid w:val="00B41A24"/>
    <w:rsid w:val="00B60D2E"/>
    <w:rsid w:val="00B64118"/>
    <w:rsid w:val="00B67F6D"/>
    <w:rsid w:val="00B705B7"/>
    <w:rsid w:val="00B756B6"/>
    <w:rsid w:val="00B761EF"/>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DD399D"/>
    <w:rsid w:val="00E412C7"/>
    <w:rsid w:val="00E428B3"/>
    <w:rsid w:val="00E47B72"/>
    <w:rsid w:val="00E6735E"/>
    <w:rsid w:val="00E904AD"/>
    <w:rsid w:val="00EB052E"/>
    <w:rsid w:val="00EC6CCA"/>
    <w:rsid w:val="00F13A56"/>
    <w:rsid w:val="00F323BA"/>
    <w:rsid w:val="00F349C7"/>
    <w:rsid w:val="00F35BCA"/>
    <w:rsid w:val="00F517D2"/>
    <w:rsid w:val="00F5407A"/>
    <w:rsid w:val="00F64452"/>
    <w:rsid w:val="00F74862"/>
    <w:rsid w:val="00F92273"/>
    <w:rsid w:val="00F9438B"/>
    <w:rsid w:val="00FA7BD3"/>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 w:type="paragraph" w:styleId="Corpsdetexte2">
    <w:name w:val="Body Text 2"/>
    <w:basedOn w:val="Normal"/>
    <w:link w:val="Corpsdetexte2Car"/>
    <w:uiPriority w:val="99"/>
    <w:semiHidden/>
    <w:unhideWhenUsed/>
    <w:rsid w:val="00621E36"/>
    <w:pPr>
      <w:spacing w:after="120"/>
    </w:pPr>
  </w:style>
  <w:style w:type="character" w:customStyle="1" w:styleId="Corpsdetexte2Car">
    <w:name w:val="Corps de texte 2 Car"/>
    <w:basedOn w:val="Policepardfaut"/>
    <w:link w:val="Corpsdetexte2"/>
    <w:uiPriority w:val="99"/>
    <w:semiHidden/>
    <w:rsid w:val="00621E36"/>
    <w:rPr>
      <w:rFonts w:ascii="Calibri" w:eastAsia="Calibri" w:hAnsi="Calibri" w:cs="Arial"/>
      <w:lang w:val="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2114</TotalTime>
  <Pages>2</Pages>
  <Words>476</Words>
  <Characters>2714</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128</cp:revision>
  <dcterms:created xsi:type="dcterms:W3CDTF">2014-12-07T11:07:00Z</dcterms:created>
  <dcterms:modified xsi:type="dcterms:W3CDTF">2014-12-24T11:51:00Z</dcterms:modified>
</cp:coreProperties>
</file>