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388F" w:rsidRDefault="0044388F" w:rsidP="00AF0996">
      <w:pPr>
        <w:autoSpaceDE w:val="0"/>
        <w:autoSpaceDN w:val="0"/>
        <w:adjustRightInd w:val="0"/>
        <w:spacing w:line="360" w:lineRule="auto"/>
        <w:jc w:val="both"/>
        <w:rPr>
          <w:sz w:val="20"/>
          <w:szCs w:val="22"/>
        </w:rPr>
      </w:pPr>
    </w:p>
    <w:p w:rsidR="0044388F" w:rsidRDefault="0044388F" w:rsidP="00AF0996">
      <w:pPr>
        <w:autoSpaceDE w:val="0"/>
        <w:autoSpaceDN w:val="0"/>
        <w:adjustRightInd w:val="0"/>
        <w:spacing w:line="360" w:lineRule="auto"/>
        <w:jc w:val="both"/>
        <w:rPr>
          <w:sz w:val="20"/>
          <w:szCs w:val="22"/>
        </w:rPr>
      </w:pPr>
    </w:p>
    <w:p w:rsidR="0044388F" w:rsidRDefault="0044388F" w:rsidP="00AF0996">
      <w:pPr>
        <w:autoSpaceDE w:val="0"/>
        <w:autoSpaceDN w:val="0"/>
        <w:adjustRightInd w:val="0"/>
        <w:spacing w:line="360" w:lineRule="auto"/>
        <w:jc w:val="both"/>
        <w:rPr>
          <w:sz w:val="20"/>
          <w:szCs w:val="22"/>
        </w:rPr>
      </w:pPr>
    </w:p>
    <w:p w:rsidR="00AF0996" w:rsidRPr="00AF0996" w:rsidRDefault="00AF0996" w:rsidP="00AF0996">
      <w:pPr>
        <w:autoSpaceDE w:val="0"/>
        <w:autoSpaceDN w:val="0"/>
        <w:adjustRightInd w:val="0"/>
        <w:spacing w:line="360" w:lineRule="auto"/>
        <w:jc w:val="both"/>
        <w:rPr>
          <w:b/>
          <w:bCs/>
          <w:sz w:val="20"/>
          <w:szCs w:val="22"/>
        </w:rPr>
      </w:pPr>
      <w:r w:rsidRPr="00AF0996">
        <w:rPr>
          <w:sz w:val="20"/>
          <w:szCs w:val="22"/>
        </w:rPr>
        <w:t xml:space="preserve">La relation entre </w:t>
      </w:r>
      <w:r w:rsidRPr="00AF0996">
        <w:rPr>
          <w:sz w:val="20"/>
          <w:szCs w:val="22"/>
          <w:shd w:val="clear" w:color="auto" w:fill="FFFFFF"/>
        </w:rPr>
        <w:t xml:space="preserve">les minéraux traces (MT) </w:t>
      </w:r>
      <w:r w:rsidRPr="00AF0996">
        <w:rPr>
          <w:sz w:val="20"/>
          <w:szCs w:val="22"/>
        </w:rPr>
        <w:t xml:space="preserve">et </w:t>
      </w:r>
      <w:r w:rsidRPr="00AF0996">
        <w:rPr>
          <w:sz w:val="20"/>
          <w:szCs w:val="22"/>
          <w:shd w:val="clear" w:color="auto" w:fill="FFFFFF"/>
        </w:rPr>
        <w:t>l’hypertension artérielle essentielle (HTA)</w:t>
      </w:r>
      <w:r w:rsidRPr="00AF0996">
        <w:rPr>
          <w:sz w:val="20"/>
          <w:szCs w:val="22"/>
        </w:rPr>
        <w:t xml:space="preserve"> est subtile et très complexe. L’objectif de ce travail est d’examinerl’impact des MT (le Sélénium </w:t>
      </w:r>
      <w:r w:rsidRPr="00AF0996">
        <w:rPr>
          <w:sz w:val="20"/>
          <w:szCs w:val="22"/>
          <w:shd w:val="clear" w:color="auto" w:fill="FFFFFF"/>
        </w:rPr>
        <w:t>(Se)</w:t>
      </w:r>
      <w:r w:rsidRPr="00AF0996">
        <w:rPr>
          <w:sz w:val="20"/>
          <w:szCs w:val="22"/>
        </w:rPr>
        <w:t xml:space="preserve">, le Zinc (Zn), le Cuivre (Cu) et le Manganèse (Mn)) comme </w:t>
      </w:r>
      <w:proofErr w:type="spellStart"/>
      <w:r w:rsidRPr="00AF0996">
        <w:rPr>
          <w:sz w:val="20"/>
          <w:szCs w:val="22"/>
        </w:rPr>
        <w:t>biomarqueurs</w:t>
      </w:r>
      <w:proofErr w:type="spellEnd"/>
      <w:r w:rsidRPr="00AF0996">
        <w:rPr>
          <w:sz w:val="20"/>
          <w:szCs w:val="22"/>
        </w:rPr>
        <w:t xml:space="preserve"> prédictifs d’un diabète de type 2 chez un sujet hypertendu.</w:t>
      </w:r>
      <w:r w:rsidRPr="00AF0996">
        <w:rPr>
          <w:b/>
          <w:bCs/>
          <w:sz w:val="20"/>
          <w:szCs w:val="22"/>
        </w:rPr>
        <w:t>Sujets et Méthodes :</w:t>
      </w:r>
      <w:r w:rsidRPr="00AF0996">
        <w:rPr>
          <w:sz w:val="20"/>
          <w:szCs w:val="22"/>
        </w:rPr>
        <w:t xml:space="preserve"> L’étude a été menée sur une cohorte de 400 sujets adultes (hommes et femmes), répartis en 04 groupes : Hypertendus (HTA), Diabétiques de type 2 (DT2), Hypertendus devenus </w:t>
      </w:r>
      <w:r w:rsidRPr="00AF0996">
        <w:rPr>
          <w:rFonts w:eastAsia="MS Mincho"/>
          <w:sz w:val="20"/>
          <w:szCs w:val="22"/>
          <w:lang w:eastAsia="ja-JP"/>
        </w:rPr>
        <w:t xml:space="preserve">diabétiques (HD) </w:t>
      </w:r>
      <w:r w:rsidRPr="00AF0996">
        <w:rPr>
          <w:sz w:val="20"/>
          <w:szCs w:val="22"/>
        </w:rPr>
        <w:t xml:space="preserve">et sujets témoins. Les patients ont été </w:t>
      </w:r>
      <w:proofErr w:type="spellStart"/>
      <w:r w:rsidRPr="00AF0996">
        <w:rPr>
          <w:sz w:val="20"/>
          <w:szCs w:val="22"/>
        </w:rPr>
        <w:t>phénotypés</w:t>
      </w:r>
      <w:proofErr w:type="spellEnd"/>
      <w:r w:rsidRPr="00AF0996">
        <w:rPr>
          <w:sz w:val="20"/>
          <w:szCs w:val="22"/>
        </w:rPr>
        <w:t xml:space="preserve"> pour le syndrome métabolique selon les critères de la NCEP/ATPIII. L’HTA a été définie par une pression artérielle systolique (PAS) et diastolique (PAD) &gt; à 140/90 mm Hg, respectivement ; mesurées par tensiomètre électronique de type </w:t>
      </w:r>
      <w:proofErr w:type="spellStart"/>
      <w:r w:rsidRPr="00AF0996">
        <w:rPr>
          <w:sz w:val="20"/>
          <w:szCs w:val="22"/>
        </w:rPr>
        <w:t>Omron</w:t>
      </w:r>
      <w:proofErr w:type="spellEnd"/>
      <w:r w:rsidRPr="00AF0996">
        <w:rPr>
          <w:sz w:val="20"/>
          <w:szCs w:val="22"/>
        </w:rPr>
        <w:t xml:space="preserve"> 705 CP®. L’</w:t>
      </w:r>
      <w:proofErr w:type="spellStart"/>
      <w:r w:rsidRPr="00AF0996">
        <w:rPr>
          <w:sz w:val="20"/>
          <w:szCs w:val="22"/>
        </w:rPr>
        <w:t>insulinorésistance</w:t>
      </w:r>
      <w:proofErr w:type="spellEnd"/>
      <w:r w:rsidRPr="00AF0996">
        <w:rPr>
          <w:sz w:val="20"/>
          <w:szCs w:val="22"/>
        </w:rPr>
        <w:t xml:space="preserve"> par le modèle Homa-IR. Les paramètres métaboliques et inflammatoires sur automate </w:t>
      </w:r>
      <w:proofErr w:type="spellStart"/>
      <w:r w:rsidRPr="00AF0996">
        <w:rPr>
          <w:sz w:val="20"/>
          <w:szCs w:val="22"/>
        </w:rPr>
        <w:t>CobasIntegra</w:t>
      </w:r>
      <w:proofErr w:type="spellEnd"/>
      <w:r w:rsidRPr="00AF0996">
        <w:rPr>
          <w:sz w:val="20"/>
          <w:szCs w:val="22"/>
        </w:rPr>
        <w:t xml:space="preserve"> 400</w:t>
      </w:r>
      <w:r w:rsidRPr="00AF0996">
        <w:rPr>
          <w:sz w:val="20"/>
          <w:szCs w:val="22"/>
          <w:vertAlign w:val="superscript"/>
        </w:rPr>
        <w:t>®</w:t>
      </w:r>
      <w:r w:rsidRPr="00AF0996">
        <w:rPr>
          <w:sz w:val="20"/>
          <w:szCs w:val="22"/>
        </w:rPr>
        <w:t xml:space="preserve">. Les MT par spectrométrie d’absorption atomique de masse. Les marqueurs du SO par kits </w:t>
      </w:r>
      <w:proofErr w:type="spellStart"/>
      <w:r w:rsidRPr="00AF0996">
        <w:rPr>
          <w:sz w:val="20"/>
          <w:szCs w:val="22"/>
        </w:rPr>
        <w:t>Randox.</w:t>
      </w:r>
      <w:r w:rsidRPr="00AF0996">
        <w:rPr>
          <w:b/>
          <w:bCs/>
          <w:sz w:val="20"/>
          <w:szCs w:val="22"/>
        </w:rPr>
        <w:t>Résultats</w:t>
      </w:r>
      <w:proofErr w:type="spellEnd"/>
      <w:r w:rsidRPr="00AF0996">
        <w:rPr>
          <w:b/>
          <w:bCs/>
          <w:sz w:val="20"/>
          <w:szCs w:val="22"/>
        </w:rPr>
        <w:t xml:space="preserve"> :</w:t>
      </w:r>
      <w:r w:rsidRPr="00AF0996">
        <w:rPr>
          <w:sz w:val="20"/>
          <w:szCs w:val="22"/>
        </w:rPr>
        <w:t xml:space="preserve"> Les concentrations sériques en Se sont réduites dans tous les groupes, concomitantes à une déplétion marquée de l’activité de la glutathion peroxydase dans le groupe HD. En revanche, celles du Zn sont diminuées que chez les HTA et HD, mais inchangées dans le groupe DT2. A l’opposé, celles du Mn sont augmentées dans tous les groupes ; alors que le Cu uniquement chez les HTA et HD, concomitant à un effondrement de la SOD-Cu/Zn et SOD-Mn. Le rapport Zn/Cu diminue significativement chez les hypertendus, mais pas chez les diabétiques. Il apparaît que ce rapport reflète la transition entre l’HTA isolée vers l’HTA associée au DT2. </w:t>
      </w:r>
      <w:r w:rsidRPr="00AF0996">
        <w:rPr>
          <w:b/>
          <w:bCs/>
          <w:sz w:val="20"/>
          <w:szCs w:val="22"/>
        </w:rPr>
        <w:t>Conclusion :</w:t>
      </w:r>
      <w:r w:rsidRPr="00AF0996">
        <w:rPr>
          <w:sz w:val="20"/>
          <w:szCs w:val="22"/>
        </w:rPr>
        <w:t xml:space="preserve"> En définitive, les MT jouent un rôle capital dans la physiopathologie de l’HTA et peuvent être considérés comme </w:t>
      </w:r>
      <w:proofErr w:type="spellStart"/>
      <w:r w:rsidRPr="00AF0996">
        <w:rPr>
          <w:sz w:val="20"/>
          <w:szCs w:val="22"/>
        </w:rPr>
        <w:t>biomarqueurs</w:t>
      </w:r>
      <w:proofErr w:type="spellEnd"/>
      <w:r w:rsidRPr="00AF0996">
        <w:rPr>
          <w:sz w:val="20"/>
          <w:szCs w:val="22"/>
        </w:rPr>
        <w:t xml:space="preserve"> prédictifs d’un DT2 chez le sujet hypertendu.   </w:t>
      </w:r>
    </w:p>
    <w:p w:rsidR="00AF0996" w:rsidRPr="00495233" w:rsidRDefault="00AF0996" w:rsidP="00AF0996">
      <w:pPr>
        <w:autoSpaceDE w:val="0"/>
        <w:autoSpaceDN w:val="0"/>
        <w:adjustRightInd w:val="0"/>
        <w:spacing w:line="360" w:lineRule="auto"/>
        <w:jc w:val="both"/>
        <w:rPr>
          <w:b/>
          <w:bCs/>
          <w:sz w:val="22"/>
          <w:szCs w:val="22"/>
        </w:rPr>
      </w:pPr>
    </w:p>
    <w:sectPr w:rsidR="00AF0996" w:rsidRPr="00495233" w:rsidSect="00AF0996">
      <w:pgSz w:w="11900" w:h="16840"/>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useFELayout/>
  </w:compat>
  <w:rsids>
    <w:rsidRoot w:val="00AF0996"/>
    <w:rsid w:val="0044388F"/>
    <w:rsid w:val="006F3FE7"/>
    <w:rsid w:val="00A0505F"/>
    <w:rsid w:val="00AF099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96"/>
    <w:rPr>
      <w:rFonts w:ascii="Times New Roman" w:eastAsia="Times New Roman" w:hAnsi="Times New Roman" w:cs="Times New Roman"/>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FR"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96"/>
    <w:rPr>
      <w:rFonts w:ascii="Times New Roman" w:eastAsia="Times New Roman" w:hAnsi="Times New Roman" w:cs="Times New Roman"/>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280</Words>
  <Characters>1602</Characters>
  <Application>Microsoft Office Word</Application>
  <DocSecurity>0</DocSecurity>
  <Lines>13</Lines>
  <Paragraphs>3</Paragraphs>
  <ScaleCrop>false</ScaleCrop>
  <Company>free</Company>
  <LinksUpToDate>false</LinksUpToDate>
  <CharactersWithSpaces>1879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 Gouaref</dc:creator>
  <cp:lastModifiedBy>traitement</cp:lastModifiedBy>
  <cp:revision>3</cp:revision>
  <dcterms:created xsi:type="dcterms:W3CDTF">2017-02-02T13:12:00Z</dcterms:created>
  <dcterms:modified xsi:type="dcterms:W3CDTF">2017-02-02T13:12:00Z</dcterms:modified>
</cp:coreProperties>
</file>