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7D14" w:rsidRPr="00207D14" w:rsidRDefault="00207D14" w:rsidP="00207D14">
      <w:pPr>
        <w:bidi w:val="0"/>
        <w:rPr>
          <w:lang w:val="fr-FR" w:bidi="ar-DZ"/>
        </w:rPr>
      </w:pPr>
      <w:r w:rsidRPr="00207D14">
        <w:rPr>
          <w:lang w:val="fr-FR" w:bidi="ar-DZ"/>
        </w:rPr>
        <w:t>Les bassins néogènes de la Mitidja orientale et de l'Oued M'Ya recèlent des potentialités en eau d'origine essentiellement souterraine. Cette eau constitue une ressource économique importante et un patrimoine écologique sensible qu'il importe de gérer et de préserver.</w:t>
      </w:r>
    </w:p>
    <w:p w:rsidR="00207D14" w:rsidRPr="00207D14" w:rsidRDefault="00207D14" w:rsidP="00207D14">
      <w:pPr>
        <w:bidi w:val="0"/>
        <w:rPr>
          <w:lang w:val="fr-FR" w:bidi="ar-DZ"/>
        </w:rPr>
      </w:pPr>
      <w:r w:rsidRPr="00207D14">
        <w:rPr>
          <w:lang w:val="fr-FR" w:bidi="ar-DZ"/>
        </w:rPr>
        <w:t>Malheureusement dans ces bassins, les eaux de surface et souterraines sont exposées à plusieurs formes de pollution qu'elle soit d'origine urbaine, agricole, industrielle  ou simplement accidentelle. Cette pollution constitue un risque permanent de limitation  de la ressource. Dans ce contexte, ce travail a pour but d'évaluer la vulnérabilité intrinsèque des aquifères afin de préserver la qualité de la ressource en eau.</w:t>
      </w:r>
    </w:p>
    <w:p w:rsidR="00207D14" w:rsidRPr="00207D14" w:rsidRDefault="00207D14" w:rsidP="00207D14">
      <w:pPr>
        <w:bidi w:val="0"/>
        <w:rPr>
          <w:lang w:val="fr-FR" w:bidi="ar-DZ"/>
        </w:rPr>
      </w:pPr>
      <w:r w:rsidRPr="00207D14">
        <w:rPr>
          <w:lang w:val="fr-FR" w:bidi="ar-DZ"/>
        </w:rPr>
        <w:t xml:space="preserve">L'étude s'est voulue méthodologique, impliquant trois méthodes différentes d'approche      de la vulnérabilité (DRASTIC, DRIST, GOD), sur deux régions à caractéristiques </w:t>
      </w:r>
      <w:proofErr w:type="spellStart"/>
      <w:r w:rsidRPr="00207D14">
        <w:rPr>
          <w:lang w:val="fr-FR" w:bidi="ar-DZ"/>
        </w:rPr>
        <w:t>hydroclimatologiques</w:t>
      </w:r>
      <w:proofErr w:type="spellEnd"/>
      <w:r w:rsidRPr="00207D14">
        <w:rPr>
          <w:lang w:val="fr-FR" w:bidi="ar-DZ"/>
        </w:rPr>
        <w:t xml:space="preserve"> différentes : l'aquifère de la Mitidja bénéficiant d'un climat tempéré et, l'Oued M'Ya à Ouargla sous climat saharien. Les méthodes se basent sur un système de cotation numérique, intégrant un SIG, qui permet l'usage de bases de données graphiques digitalisées ou directement saisies.</w:t>
      </w:r>
    </w:p>
    <w:p w:rsidR="00207D14" w:rsidRPr="00207D14" w:rsidRDefault="00207D14" w:rsidP="00207D14">
      <w:pPr>
        <w:bidi w:val="0"/>
        <w:rPr>
          <w:lang w:val="fr-FR" w:bidi="ar-DZ"/>
        </w:rPr>
      </w:pPr>
      <w:r w:rsidRPr="00207D14">
        <w:rPr>
          <w:lang w:val="fr-FR" w:bidi="ar-DZ"/>
        </w:rPr>
        <w:t xml:space="preserve">L'étude comparative entre les deux milieux s'est faite sur la base d'une approche plurielle, associant une panoplie de techniques d'investigation et de méthodes d'interprétation : approche naturaliste du géologue dans la définition rigoureuse des aquifères, étude </w:t>
      </w:r>
      <w:proofErr w:type="spellStart"/>
      <w:r w:rsidRPr="00207D14">
        <w:rPr>
          <w:lang w:val="fr-FR" w:bidi="ar-DZ"/>
        </w:rPr>
        <w:t>hydroclimatologique</w:t>
      </w:r>
      <w:proofErr w:type="spellEnd"/>
      <w:r w:rsidRPr="00207D14">
        <w:rPr>
          <w:lang w:val="fr-FR" w:bidi="ar-DZ"/>
        </w:rPr>
        <w:t xml:space="preserve"> empirique, méthode hydrodynamiques expérimentales, étude </w:t>
      </w:r>
      <w:proofErr w:type="spellStart"/>
      <w:r w:rsidRPr="00207D14">
        <w:rPr>
          <w:lang w:val="fr-FR" w:bidi="ar-DZ"/>
        </w:rPr>
        <w:t>hydrochimique</w:t>
      </w:r>
      <w:proofErr w:type="spellEnd"/>
      <w:r w:rsidRPr="00207D14">
        <w:rPr>
          <w:lang w:val="fr-FR" w:bidi="ar-DZ"/>
        </w:rPr>
        <w:t xml:space="preserve"> dans   la détermination de l'interrelation eau/roche et la normalité de l'eau, approche probabiliste du </w:t>
      </w:r>
      <w:proofErr w:type="spellStart"/>
      <w:r w:rsidRPr="00207D14">
        <w:rPr>
          <w:lang w:val="fr-FR" w:bidi="ar-DZ"/>
        </w:rPr>
        <w:t>krigeage</w:t>
      </w:r>
      <w:proofErr w:type="spellEnd"/>
      <w:r w:rsidRPr="00207D14">
        <w:rPr>
          <w:lang w:val="fr-FR" w:bidi="ar-DZ"/>
        </w:rPr>
        <w:t>.</w:t>
      </w:r>
    </w:p>
    <w:p w:rsidR="00207D14" w:rsidRPr="00207D14" w:rsidRDefault="00207D14" w:rsidP="00207D14">
      <w:pPr>
        <w:bidi w:val="0"/>
        <w:rPr>
          <w:lang w:val="fr-FR" w:bidi="ar-DZ"/>
        </w:rPr>
      </w:pPr>
      <w:r w:rsidRPr="00207D14">
        <w:rPr>
          <w:lang w:val="fr-FR" w:bidi="ar-DZ"/>
        </w:rPr>
        <w:t>La réalisation des différentes cartes thématiques s'est faite à travers l'emploi de méthodes et techniques numériques récentes dans l'organisation des données hydrodynamiques spatiales et temporelles et la reconstruction des divers champs structuraux et hydrodynamiques.</w:t>
      </w:r>
    </w:p>
    <w:p w:rsidR="00207D14" w:rsidRPr="00207D14" w:rsidRDefault="00207D14" w:rsidP="00207D14">
      <w:pPr>
        <w:bidi w:val="0"/>
        <w:rPr>
          <w:lang w:val="fr-FR" w:bidi="ar-DZ"/>
        </w:rPr>
      </w:pPr>
      <w:r w:rsidRPr="00207D14">
        <w:rPr>
          <w:lang w:val="fr-FR" w:bidi="ar-DZ"/>
        </w:rPr>
        <w:t xml:space="preserve">Les résultats montrent que la carte de vulnérabilité DRASTIC, avec classification d'ENGEL et </w:t>
      </w:r>
      <w:proofErr w:type="gramStart"/>
      <w:r w:rsidRPr="00207D14">
        <w:rPr>
          <w:lang w:val="fr-FR" w:bidi="ar-DZ"/>
        </w:rPr>
        <w:t>al.,</w:t>
      </w:r>
      <w:proofErr w:type="gramEnd"/>
      <w:r w:rsidRPr="00207D14">
        <w:rPr>
          <w:lang w:val="fr-FR" w:bidi="ar-DZ"/>
        </w:rPr>
        <w:t xml:space="preserve"> 1996, s'avère la plus représentative et surtout la plus sécurisante, pour les deux régions d'étude.</w:t>
      </w:r>
    </w:p>
    <w:p w:rsidR="00DB1D85" w:rsidRPr="00207D14" w:rsidRDefault="00207D14" w:rsidP="00207D14">
      <w:pPr>
        <w:bidi w:val="0"/>
        <w:rPr>
          <w:rFonts w:hint="cs"/>
          <w:lang w:val="fr-FR" w:bidi="ar-DZ"/>
        </w:rPr>
      </w:pPr>
      <w:r w:rsidRPr="00207D14">
        <w:rPr>
          <w:lang w:val="fr-FR" w:bidi="ar-DZ"/>
        </w:rPr>
        <w:t>Dans le but de visualiser le degré d'influence des différents paramètres de la méthode DRASTIC sur l'indice de vulnérabilité, on a procédé à l'étude du degré de corrélation, en utilisant la méthode de régression linéaire de chaque paramètre avec l'indice de vulnérabilité.</w:t>
      </w:r>
    </w:p>
    <w:sectPr w:rsidR="00DB1D85" w:rsidRPr="00207D14"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07D14"/>
    <w:rsid w:val="00207D14"/>
    <w:rsid w:val="006D5754"/>
    <w:rsid w:val="00DB1D8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1D8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355</Words>
  <Characters>2025</Characters>
  <Application>Microsoft Office Word</Application>
  <DocSecurity>0</DocSecurity>
  <Lines>16</Lines>
  <Paragraphs>4</Paragraphs>
  <ScaleCrop>false</ScaleCrop>
  <Company/>
  <LinksUpToDate>false</LinksUpToDate>
  <CharactersWithSpaces>2376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2014-12-21T11:05:00Z</dcterms:created>
  <dcterms:modified xsi:type="dcterms:W3CDTF">2014-12-21T11:05:00Z</dcterms:modified>
</cp:coreProperties>
</file>