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7008" w:rsidRPr="00972AC1" w:rsidRDefault="003B7008" w:rsidP="003B7008">
      <w:pPr>
        <w:jc w:val="center"/>
        <w:rPr>
          <w:rFonts w:asciiTheme="majorBidi" w:hAnsiTheme="majorBidi" w:cstheme="majorBidi"/>
          <w:b/>
          <w:bCs/>
          <w:sz w:val="28"/>
          <w:szCs w:val="28"/>
        </w:rPr>
      </w:pPr>
      <w:r w:rsidRPr="00972AC1">
        <w:rPr>
          <w:rFonts w:asciiTheme="majorBidi" w:hAnsiTheme="majorBidi" w:cstheme="majorBidi"/>
          <w:b/>
          <w:bCs/>
          <w:sz w:val="28"/>
          <w:szCs w:val="28"/>
        </w:rPr>
        <w:t>Résumé</w:t>
      </w:r>
    </w:p>
    <w:p w:rsidR="003B7008" w:rsidRDefault="003B7008" w:rsidP="003B7008">
      <w:pPr>
        <w:rPr>
          <w:rFonts w:asciiTheme="majorBidi" w:hAnsiTheme="majorBidi" w:cstheme="majorBidi"/>
          <w:b/>
          <w:i/>
          <w:sz w:val="36"/>
          <w:szCs w:val="36"/>
        </w:rPr>
      </w:pPr>
    </w:p>
    <w:p w:rsidR="003B7008" w:rsidRDefault="003B7008" w:rsidP="003B7008">
      <w:pPr>
        <w:jc w:val="center"/>
        <w:rPr>
          <w:rFonts w:asciiTheme="majorBidi" w:hAnsiTheme="majorBidi" w:cstheme="majorBidi"/>
          <w:b/>
          <w:i/>
          <w:sz w:val="36"/>
          <w:szCs w:val="36"/>
        </w:rPr>
      </w:pPr>
      <w:r w:rsidRPr="00944C5A">
        <w:rPr>
          <w:rFonts w:asciiTheme="majorBidi" w:hAnsiTheme="majorBidi" w:cstheme="majorBidi"/>
          <w:b/>
          <w:i/>
          <w:sz w:val="36"/>
          <w:szCs w:val="36"/>
        </w:rPr>
        <w:t xml:space="preserve">Mise en œuvre et vérification d’un algorithme de calcul pour la radiothérapie </w:t>
      </w:r>
      <w:proofErr w:type="spellStart"/>
      <w:r w:rsidRPr="00944C5A">
        <w:rPr>
          <w:rFonts w:asciiTheme="majorBidi" w:hAnsiTheme="majorBidi" w:cstheme="majorBidi"/>
          <w:b/>
          <w:i/>
          <w:sz w:val="36"/>
          <w:szCs w:val="36"/>
        </w:rPr>
        <w:t>conformationnelle</w:t>
      </w:r>
      <w:proofErr w:type="spellEnd"/>
      <w:r w:rsidRPr="00944C5A">
        <w:rPr>
          <w:rFonts w:asciiTheme="majorBidi" w:hAnsiTheme="majorBidi" w:cstheme="majorBidi"/>
          <w:b/>
          <w:i/>
          <w:sz w:val="36"/>
          <w:szCs w:val="36"/>
        </w:rPr>
        <w:t xml:space="preserve"> avec modulation d’intensité (IMRT)</w:t>
      </w:r>
    </w:p>
    <w:p w:rsidR="003B7008" w:rsidRDefault="003B7008" w:rsidP="003B7008">
      <w:pPr>
        <w:jc w:val="center"/>
        <w:rPr>
          <w:rFonts w:asciiTheme="majorBidi" w:hAnsiTheme="majorBidi" w:cstheme="majorBidi"/>
          <w:b/>
          <w:i/>
          <w:sz w:val="36"/>
          <w:szCs w:val="36"/>
        </w:rPr>
      </w:pPr>
    </w:p>
    <w:p w:rsidR="00000000" w:rsidRDefault="003B7008">
      <w:r>
        <w:rPr>
          <w:noProof/>
        </w:rPr>
        <w:pict>
          <v:shapetype id="_x0000_t202" coordsize="21600,21600" o:spt="202" path="m,l,21600r21600,l21600,xe">
            <v:stroke joinstyle="miter"/>
            <v:path gradientshapeok="t" o:connecttype="rect"/>
          </v:shapetype>
          <v:shape id="_x0000_s1026" type="#_x0000_t202" style="position:absolute;margin-left:-48.75pt;margin-top:-2.6pt;width:510.25pt;height:411.55pt;z-index:251658240" stroked="f">
            <v:textbox style="mso-next-textbox:#_x0000_s1026">
              <w:txbxContent>
                <w:p w:rsidR="003B7008" w:rsidRPr="00FD05D9" w:rsidRDefault="003B7008" w:rsidP="003B7008">
                  <w:pPr>
                    <w:rPr>
                      <w:rFonts w:asciiTheme="majorBidi" w:hAnsiTheme="majorBidi" w:cstheme="majorBidi"/>
                      <w:sz w:val="24"/>
                      <w:szCs w:val="24"/>
                    </w:rPr>
                  </w:pPr>
                  <w:r w:rsidRPr="00FD05D9">
                    <w:rPr>
                      <w:rFonts w:asciiTheme="majorBidi" w:hAnsiTheme="majorBidi" w:cstheme="majorBidi"/>
                      <w:sz w:val="24"/>
                      <w:szCs w:val="24"/>
                    </w:rPr>
                    <w:t xml:space="preserve">La Radiothérapie </w:t>
                  </w:r>
                  <w:proofErr w:type="spellStart"/>
                  <w:r w:rsidRPr="00FD05D9">
                    <w:rPr>
                      <w:rFonts w:asciiTheme="majorBidi" w:hAnsiTheme="majorBidi" w:cstheme="majorBidi"/>
                      <w:sz w:val="24"/>
                      <w:szCs w:val="24"/>
                    </w:rPr>
                    <w:t>Conformationnelle</w:t>
                  </w:r>
                  <w:proofErr w:type="spellEnd"/>
                  <w:r w:rsidRPr="00FD05D9">
                    <w:rPr>
                      <w:rFonts w:asciiTheme="majorBidi" w:hAnsiTheme="majorBidi" w:cstheme="majorBidi"/>
                      <w:sz w:val="24"/>
                      <w:szCs w:val="24"/>
                    </w:rPr>
                    <w:t xml:space="preserve"> avec Modulation d’Intensité (RCMI ou IMRT</w:t>
                  </w:r>
                  <w:r>
                    <w:rPr>
                      <w:rFonts w:asciiTheme="majorBidi" w:hAnsiTheme="majorBidi" w:cstheme="majorBidi"/>
                      <w:sz w:val="24"/>
                      <w:szCs w:val="24"/>
                    </w:rPr>
                    <w:t xml:space="preserve"> pour </w:t>
                  </w:r>
                  <w:proofErr w:type="spellStart"/>
                  <w:r>
                    <w:rPr>
                      <w:rFonts w:asciiTheme="majorBidi" w:hAnsiTheme="majorBidi" w:cstheme="majorBidi"/>
                      <w:sz w:val="24"/>
                      <w:szCs w:val="24"/>
                    </w:rPr>
                    <w:t>Intensity</w:t>
                  </w:r>
                  <w:proofErr w:type="spellEnd"/>
                  <w:r>
                    <w:rPr>
                      <w:rFonts w:asciiTheme="majorBidi" w:hAnsiTheme="majorBidi" w:cstheme="majorBidi"/>
                      <w:sz w:val="24"/>
                      <w:szCs w:val="24"/>
                    </w:rPr>
                    <w:t xml:space="preserve"> Modulation </w:t>
                  </w:r>
                  <w:proofErr w:type="spellStart"/>
                  <w:r>
                    <w:rPr>
                      <w:rFonts w:asciiTheme="majorBidi" w:hAnsiTheme="majorBidi" w:cstheme="majorBidi"/>
                      <w:sz w:val="24"/>
                      <w:szCs w:val="24"/>
                    </w:rPr>
                    <w:t>RadioTherapy</w:t>
                  </w:r>
                  <w:proofErr w:type="spellEnd"/>
                  <w:r w:rsidRPr="00FD05D9">
                    <w:rPr>
                      <w:rFonts w:asciiTheme="majorBidi" w:hAnsiTheme="majorBidi" w:cstheme="majorBidi"/>
                      <w:sz w:val="24"/>
                      <w:szCs w:val="24"/>
                    </w:rPr>
                    <w:t>) est une technique innovante qui permet de conformer les distributions de dose au volume cible tout en</w:t>
                  </w:r>
                  <w:r>
                    <w:rPr>
                      <w:rFonts w:asciiTheme="majorBidi" w:hAnsiTheme="majorBidi" w:cstheme="majorBidi"/>
                      <w:sz w:val="24"/>
                      <w:szCs w:val="24"/>
                    </w:rPr>
                    <w:t xml:space="preserve"> </w:t>
                  </w:r>
                  <w:r w:rsidRPr="00FD05D9">
                    <w:rPr>
                      <w:rFonts w:asciiTheme="majorBidi" w:hAnsiTheme="majorBidi" w:cstheme="majorBidi"/>
                      <w:sz w:val="24"/>
                      <w:szCs w:val="24"/>
                    </w:rPr>
                    <w:t>épargnant les organes à risque avoisinants. C’est une technique de choix pour les irradiations complexes où les volumes cibles présentent une forme concave autour d’organes à risque. Elle repose sur une méthodologie dite de planification inverse qui utilise un algorithme de calcul de dose associé à une méthode d’optimisation.</w:t>
                  </w:r>
                </w:p>
                <w:p w:rsidR="003B7008" w:rsidRPr="00FD05D9" w:rsidRDefault="003B7008" w:rsidP="003B7008">
                  <w:pPr>
                    <w:autoSpaceDE w:val="0"/>
                    <w:autoSpaceDN w:val="0"/>
                    <w:adjustRightInd w:val="0"/>
                    <w:rPr>
                      <w:rFonts w:asciiTheme="majorBidi" w:hAnsiTheme="majorBidi" w:cstheme="majorBidi"/>
                      <w:sz w:val="24"/>
                      <w:szCs w:val="24"/>
                    </w:rPr>
                  </w:pPr>
                  <w:r w:rsidRPr="00FD05D9">
                    <w:rPr>
                      <w:rFonts w:asciiTheme="majorBidi" w:hAnsiTheme="majorBidi" w:cstheme="majorBidi"/>
                      <w:sz w:val="24"/>
                      <w:szCs w:val="24"/>
                    </w:rPr>
                    <w:t xml:space="preserve">L’objectif de notre travail est de mettre en place des outils et des méthodes permettant de montrer la faisabilité et l’efficience de la mise en œuvre d’un traitement en IMRT, dans le but </w:t>
                  </w:r>
                  <w:r>
                    <w:rPr>
                      <w:rFonts w:asciiTheme="majorBidi" w:hAnsiTheme="majorBidi" w:cstheme="majorBidi"/>
                      <w:sz w:val="24"/>
                      <w:szCs w:val="24"/>
                    </w:rPr>
                    <w:t>d’</w:t>
                  </w:r>
                  <w:r w:rsidRPr="00FD05D9">
                    <w:rPr>
                      <w:rFonts w:asciiTheme="majorBidi" w:hAnsiTheme="majorBidi" w:cstheme="majorBidi"/>
                      <w:sz w:val="24"/>
                      <w:szCs w:val="24"/>
                    </w:rPr>
                    <w:t>améliorer la qualité de</w:t>
                  </w:r>
                  <w:r>
                    <w:rPr>
                      <w:rFonts w:asciiTheme="majorBidi" w:hAnsiTheme="majorBidi" w:cstheme="majorBidi"/>
                      <w:sz w:val="24"/>
                      <w:szCs w:val="24"/>
                    </w:rPr>
                    <w:t>s</w:t>
                  </w:r>
                  <w:r w:rsidRPr="00FD05D9">
                    <w:rPr>
                      <w:rFonts w:asciiTheme="majorBidi" w:hAnsiTheme="majorBidi" w:cstheme="majorBidi"/>
                      <w:sz w:val="24"/>
                      <w:szCs w:val="24"/>
                    </w:rPr>
                    <w:t xml:space="preserve"> </w:t>
                  </w:r>
                  <w:r>
                    <w:rPr>
                      <w:rFonts w:asciiTheme="majorBidi" w:hAnsiTheme="majorBidi" w:cstheme="majorBidi"/>
                      <w:sz w:val="24"/>
                      <w:szCs w:val="24"/>
                    </w:rPr>
                    <w:t>traitements</w:t>
                  </w:r>
                  <w:r w:rsidRPr="00FD05D9">
                    <w:rPr>
                      <w:rFonts w:asciiTheme="majorBidi" w:hAnsiTheme="majorBidi" w:cstheme="majorBidi"/>
                      <w:sz w:val="24"/>
                      <w:szCs w:val="24"/>
                    </w:rPr>
                    <w:t xml:space="preserve"> des cancéreux</w:t>
                  </w:r>
                  <w:r>
                    <w:rPr>
                      <w:rFonts w:asciiTheme="majorBidi" w:hAnsiTheme="majorBidi" w:cstheme="majorBidi"/>
                      <w:sz w:val="24"/>
                      <w:szCs w:val="24"/>
                    </w:rPr>
                    <w:t xml:space="preserve"> en Algérie</w:t>
                  </w:r>
                  <w:r w:rsidRPr="00FD05D9">
                    <w:rPr>
                      <w:rFonts w:asciiTheme="majorBidi" w:hAnsiTheme="majorBidi" w:cstheme="majorBidi"/>
                      <w:sz w:val="24"/>
                      <w:szCs w:val="24"/>
                    </w:rPr>
                    <w:t>.</w:t>
                  </w:r>
                </w:p>
                <w:p w:rsidR="003B7008" w:rsidRPr="00FD05D9" w:rsidRDefault="003B7008" w:rsidP="003B7008">
                  <w:pPr>
                    <w:autoSpaceDE w:val="0"/>
                    <w:autoSpaceDN w:val="0"/>
                    <w:adjustRightInd w:val="0"/>
                    <w:rPr>
                      <w:rFonts w:asciiTheme="majorBidi" w:hAnsiTheme="majorBidi" w:cstheme="majorBidi"/>
                      <w:sz w:val="24"/>
                      <w:szCs w:val="24"/>
                    </w:rPr>
                  </w:pPr>
                  <w:r w:rsidRPr="00FD05D9">
                    <w:rPr>
                      <w:rFonts w:asciiTheme="majorBidi" w:hAnsiTheme="majorBidi" w:cstheme="majorBidi"/>
                      <w:sz w:val="24"/>
                      <w:szCs w:val="24"/>
                    </w:rPr>
                    <w:t xml:space="preserve">Dans cette perspective, nous avons abordé deux axes principaux : </w:t>
                  </w:r>
                  <w:r>
                    <w:rPr>
                      <w:rFonts w:asciiTheme="majorBidi" w:hAnsiTheme="majorBidi" w:cstheme="majorBidi"/>
                      <w:sz w:val="24"/>
                      <w:szCs w:val="24"/>
                    </w:rPr>
                    <w:t xml:space="preserve">D’abord, </w:t>
                  </w:r>
                  <w:r w:rsidRPr="00FD05D9">
                    <w:rPr>
                      <w:rFonts w:asciiTheme="majorBidi" w:hAnsiTheme="majorBidi" w:cstheme="majorBidi"/>
                      <w:sz w:val="24"/>
                      <w:szCs w:val="24"/>
                    </w:rPr>
                    <w:t xml:space="preserve">la modélisation physique du </w:t>
                  </w:r>
                  <w:r>
                    <w:rPr>
                      <w:rFonts w:asciiTheme="majorBidi" w:hAnsiTheme="majorBidi" w:cstheme="majorBidi"/>
                      <w:sz w:val="24"/>
                      <w:szCs w:val="24"/>
                    </w:rPr>
                    <w:t xml:space="preserve">système </w:t>
                  </w:r>
                  <w:r w:rsidRPr="00FD05D9">
                    <w:rPr>
                      <w:rFonts w:asciiTheme="majorBidi" w:hAnsiTheme="majorBidi" w:cstheme="majorBidi"/>
                      <w:sz w:val="24"/>
                      <w:szCs w:val="24"/>
                    </w:rPr>
                    <w:t xml:space="preserve"> de planification (</w:t>
                  </w:r>
                  <w:proofErr w:type="spellStart"/>
                  <w:r w:rsidRPr="00FD05D9">
                    <w:rPr>
                      <w:rFonts w:asciiTheme="majorBidi" w:hAnsiTheme="majorBidi" w:cstheme="majorBidi"/>
                      <w:sz w:val="24"/>
                      <w:szCs w:val="24"/>
                    </w:rPr>
                    <w:t>XiO</w:t>
                  </w:r>
                  <w:proofErr w:type="spellEnd"/>
                  <w:r w:rsidRPr="00FD05D9">
                    <w:rPr>
                      <w:rFonts w:asciiTheme="majorBidi" w:hAnsiTheme="majorBidi" w:cstheme="majorBidi"/>
                      <w:sz w:val="24"/>
                      <w:szCs w:val="24"/>
                    </w:rPr>
                    <w:t xml:space="preserve">). Ainsi, il y a plusieurs mesures importantes pour la vérification de la modélisation des accélérateurs linéaires pour réaliser des traitements en IMRT. </w:t>
                  </w:r>
                  <w:r>
                    <w:rPr>
                      <w:rFonts w:asciiTheme="majorBidi" w:hAnsiTheme="majorBidi" w:cstheme="majorBidi"/>
                      <w:sz w:val="24"/>
                      <w:szCs w:val="24"/>
                    </w:rPr>
                    <w:t>Ensuite</w:t>
                  </w:r>
                  <w:r w:rsidRPr="00FD05D9">
                    <w:rPr>
                      <w:rFonts w:asciiTheme="majorBidi" w:hAnsiTheme="majorBidi" w:cstheme="majorBidi"/>
                      <w:sz w:val="24"/>
                      <w:szCs w:val="24"/>
                    </w:rPr>
                    <w:t xml:space="preserve">, les traitements </w:t>
                  </w:r>
                  <w:r>
                    <w:rPr>
                      <w:rFonts w:asciiTheme="majorBidi" w:hAnsiTheme="majorBidi" w:cstheme="majorBidi"/>
                      <w:sz w:val="24"/>
                      <w:szCs w:val="24"/>
                    </w:rPr>
                    <w:t xml:space="preserve">en </w:t>
                  </w:r>
                  <w:r w:rsidRPr="00FD05D9">
                    <w:rPr>
                      <w:rFonts w:asciiTheme="majorBidi" w:hAnsiTheme="majorBidi" w:cstheme="majorBidi"/>
                      <w:sz w:val="24"/>
                      <w:szCs w:val="24"/>
                    </w:rPr>
                    <w:t>IMRT nécessitent un contrôle de qualité pour chaque patient.</w:t>
                  </w:r>
                  <w:r>
                    <w:rPr>
                      <w:rFonts w:asciiTheme="majorBidi" w:hAnsiTheme="majorBidi" w:cstheme="majorBidi"/>
                      <w:sz w:val="24"/>
                      <w:szCs w:val="24"/>
                    </w:rPr>
                    <w:t xml:space="preserve"> </w:t>
                  </w:r>
                  <w:r w:rsidRPr="00FD05D9">
                    <w:rPr>
                      <w:rFonts w:asciiTheme="majorBidi" w:hAnsiTheme="majorBidi" w:cstheme="majorBidi"/>
                      <w:sz w:val="24"/>
                      <w:szCs w:val="24"/>
                    </w:rPr>
                    <w:t>La méthode faisceau par faisceau, bras à 0°, constitue la mesure de base à réaliser pour les</w:t>
                  </w:r>
                  <w:r>
                    <w:rPr>
                      <w:rFonts w:asciiTheme="majorBidi" w:hAnsiTheme="majorBidi" w:cstheme="majorBidi"/>
                      <w:sz w:val="24"/>
                      <w:szCs w:val="24"/>
                    </w:rPr>
                    <w:t xml:space="preserve"> </w:t>
                  </w:r>
                  <w:r w:rsidRPr="00FD05D9">
                    <w:rPr>
                      <w:rFonts w:asciiTheme="majorBidi" w:hAnsiTheme="majorBidi" w:cstheme="majorBidi"/>
                      <w:sz w:val="24"/>
                      <w:szCs w:val="24"/>
                    </w:rPr>
                    <w:t xml:space="preserve">contrôles des plans de </w:t>
                  </w:r>
                  <w:r>
                    <w:rPr>
                      <w:rFonts w:asciiTheme="majorBidi" w:hAnsiTheme="majorBidi" w:cstheme="majorBidi"/>
                      <w:sz w:val="24"/>
                      <w:szCs w:val="24"/>
                    </w:rPr>
                    <w:t>traitement</w:t>
                  </w:r>
                  <w:r w:rsidRPr="00FD05D9">
                    <w:rPr>
                      <w:rFonts w:asciiTheme="majorBidi" w:hAnsiTheme="majorBidi" w:cstheme="majorBidi"/>
                      <w:sz w:val="24"/>
                      <w:szCs w:val="24"/>
                    </w:rPr>
                    <w:t xml:space="preserve"> par irradiation </w:t>
                  </w:r>
                  <w:proofErr w:type="spellStart"/>
                  <w:r w:rsidRPr="00FD05D9">
                    <w:rPr>
                      <w:rFonts w:asciiTheme="majorBidi" w:hAnsiTheme="majorBidi" w:cstheme="majorBidi"/>
                      <w:sz w:val="24"/>
                      <w:szCs w:val="24"/>
                    </w:rPr>
                    <w:t>conformationnelle</w:t>
                  </w:r>
                  <w:proofErr w:type="spellEnd"/>
                  <w:r w:rsidRPr="00FD05D9">
                    <w:rPr>
                      <w:rFonts w:asciiTheme="majorBidi" w:hAnsiTheme="majorBidi" w:cstheme="majorBidi"/>
                      <w:sz w:val="24"/>
                      <w:szCs w:val="24"/>
                    </w:rPr>
                    <w:t xml:space="preserve"> avec modulation</w:t>
                  </w:r>
                  <w:r>
                    <w:rPr>
                      <w:rFonts w:asciiTheme="majorBidi" w:hAnsiTheme="majorBidi" w:cstheme="majorBidi"/>
                      <w:sz w:val="24"/>
                      <w:szCs w:val="24"/>
                    </w:rPr>
                    <w:t xml:space="preserve"> </w:t>
                  </w:r>
                  <w:r w:rsidRPr="00FD05D9">
                    <w:rPr>
                      <w:rFonts w:asciiTheme="majorBidi" w:hAnsiTheme="majorBidi" w:cstheme="majorBidi"/>
                      <w:sz w:val="24"/>
                      <w:szCs w:val="24"/>
                    </w:rPr>
                    <w:t xml:space="preserve">d’intensité en mode </w:t>
                  </w:r>
                  <w:proofErr w:type="spellStart"/>
                  <w:r w:rsidRPr="00FD05D9">
                    <w:rPr>
                      <w:rFonts w:asciiTheme="majorBidi" w:hAnsiTheme="majorBidi" w:cstheme="majorBidi"/>
                      <w:sz w:val="24"/>
                      <w:szCs w:val="24"/>
                    </w:rPr>
                    <w:t>step</w:t>
                  </w:r>
                  <w:proofErr w:type="spellEnd"/>
                  <w:r w:rsidRPr="00FD05D9">
                    <w:rPr>
                      <w:rFonts w:asciiTheme="majorBidi" w:hAnsiTheme="majorBidi" w:cstheme="majorBidi"/>
                      <w:sz w:val="24"/>
                      <w:szCs w:val="24"/>
                    </w:rPr>
                    <w:t xml:space="preserve"> and shoot.</w:t>
                  </w:r>
                </w:p>
                <w:p w:rsidR="003B7008" w:rsidRPr="00FD05D9" w:rsidRDefault="003B7008" w:rsidP="003B7008">
                  <w:pPr>
                    <w:rPr>
                      <w:rFonts w:asciiTheme="majorBidi" w:hAnsiTheme="majorBidi" w:cstheme="majorBidi"/>
                      <w:sz w:val="24"/>
                      <w:szCs w:val="24"/>
                    </w:rPr>
                  </w:pPr>
                </w:p>
                <w:p w:rsidR="003B7008" w:rsidRPr="00FD05D9" w:rsidRDefault="003B7008" w:rsidP="003B7008">
                  <w:pPr>
                    <w:rPr>
                      <w:rFonts w:asciiTheme="majorBidi" w:hAnsiTheme="majorBidi" w:cstheme="majorBidi"/>
                      <w:sz w:val="24"/>
                      <w:szCs w:val="24"/>
                    </w:rPr>
                  </w:pPr>
                  <w:r w:rsidRPr="00FD05D9">
                    <w:rPr>
                      <w:rFonts w:asciiTheme="majorBidi" w:hAnsiTheme="majorBidi" w:cstheme="majorBidi"/>
                      <w:sz w:val="24"/>
                      <w:szCs w:val="24"/>
                    </w:rPr>
                    <w:t>Les comparaisons</w:t>
                  </w:r>
                  <w:r>
                    <w:rPr>
                      <w:rFonts w:asciiTheme="majorBidi" w:hAnsiTheme="majorBidi" w:cstheme="majorBidi"/>
                      <w:sz w:val="24"/>
                      <w:szCs w:val="24"/>
                    </w:rPr>
                    <w:t>,</w:t>
                  </w:r>
                  <w:r w:rsidRPr="00FD05D9">
                    <w:rPr>
                      <w:rFonts w:asciiTheme="majorBidi" w:hAnsiTheme="majorBidi" w:cstheme="majorBidi"/>
                      <w:sz w:val="24"/>
                      <w:szCs w:val="24"/>
                    </w:rPr>
                    <w:t xml:space="preserve"> </w:t>
                  </w:r>
                  <w:r>
                    <w:rPr>
                      <w:rFonts w:asciiTheme="majorBidi" w:hAnsiTheme="majorBidi" w:cstheme="majorBidi"/>
                      <w:sz w:val="24"/>
                      <w:szCs w:val="24"/>
                    </w:rPr>
                    <w:t xml:space="preserve">entre mesure et calcul, </w:t>
                  </w:r>
                  <w:r w:rsidRPr="00FD05D9">
                    <w:rPr>
                      <w:rFonts w:asciiTheme="majorBidi" w:hAnsiTheme="majorBidi" w:cstheme="majorBidi"/>
                      <w:sz w:val="24"/>
                      <w:szCs w:val="24"/>
                    </w:rPr>
                    <w:t xml:space="preserve">effectuées pour les rendements en profondeur, les profils de dose et les doses absolues montrent de bons résultats. </w:t>
                  </w:r>
                  <w:r>
                    <w:rPr>
                      <w:rFonts w:asciiTheme="majorBidi" w:hAnsiTheme="majorBidi" w:cstheme="majorBidi"/>
                      <w:sz w:val="24"/>
                      <w:szCs w:val="24"/>
                    </w:rPr>
                    <w:t>C</w:t>
                  </w:r>
                  <w:r w:rsidRPr="00FD05D9">
                    <w:rPr>
                      <w:rFonts w:asciiTheme="majorBidi" w:hAnsiTheme="majorBidi" w:cstheme="majorBidi"/>
                      <w:sz w:val="24"/>
                      <w:szCs w:val="24"/>
                    </w:rPr>
                    <w:t xml:space="preserve">es résultats obtenus et les erreurs minimes, font que la modélisation au niveau géométrie du faisceau est acceptable. La validation clinique du TPS a été effectuée pour </w:t>
                  </w:r>
                  <w:r>
                    <w:rPr>
                      <w:rFonts w:asciiTheme="majorBidi" w:hAnsiTheme="majorBidi" w:cstheme="majorBidi"/>
                      <w:sz w:val="24"/>
                      <w:szCs w:val="24"/>
                    </w:rPr>
                    <w:t>les pathologies</w:t>
                  </w:r>
                  <w:r w:rsidRPr="00FD05D9">
                    <w:rPr>
                      <w:rFonts w:asciiTheme="majorBidi" w:hAnsiTheme="majorBidi" w:cstheme="majorBidi"/>
                      <w:sz w:val="24"/>
                      <w:szCs w:val="24"/>
                    </w:rPr>
                    <w:t xml:space="preserve"> d’un cancer de </w:t>
                  </w:r>
                  <w:r>
                    <w:rPr>
                      <w:rFonts w:asciiTheme="majorBidi" w:hAnsiTheme="majorBidi" w:cstheme="majorBidi"/>
                      <w:sz w:val="24"/>
                      <w:szCs w:val="24"/>
                    </w:rPr>
                    <w:t xml:space="preserve">la </w:t>
                  </w:r>
                  <w:r w:rsidRPr="00FD05D9">
                    <w:rPr>
                      <w:rFonts w:asciiTheme="majorBidi" w:hAnsiTheme="majorBidi" w:cstheme="majorBidi"/>
                      <w:sz w:val="24"/>
                      <w:szCs w:val="24"/>
                    </w:rPr>
                    <w:t xml:space="preserve">prostate et d’un cancer d’ORL). La comparaison entre </w:t>
                  </w:r>
                  <w:r>
                    <w:rPr>
                      <w:rFonts w:asciiTheme="majorBidi" w:hAnsiTheme="majorBidi" w:cstheme="majorBidi"/>
                      <w:sz w:val="24"/>
                      <w:szCs w:val="24"/>
                    </w:rPr>
                    <w:t xml:space="preserve">les </w:t>
                  </w:r>
                  <w:r w:rsidRPr="00FD05D9">
                    <w:rPr>
                      <w:rFonts w:asciiTheme="majorBidi" w:hAnsiTheme="majorBidi" w:cstheme="majorBidi"/>
                      <w:sz w:val="24"/>
                      <w:szCs w:val="24"/>
                    </w:rPr>
                    <w:t>plans 3DRC</w:t>
                  </w:r>
                  <w:r>
                    <w:rPr>
                      <w:rFonts w:asciiTheme="majorBidi" w:hAnsiTheme="majorBidi" w:cstheme="majorBidi"/>
                      <w:sz w:val="24"/>
                      <w:szCs w:val="24"/>
                    </w:rPr>
                    <w:t>T</w:t>
                  </w:r>
                  <w:r w:rsidRPr="00FD05D9">
                    <w:rPr>
                      <w:rFonts w:asciiTheme="majorBidi" w:hAnsiTheme="majorBidi" w:cstheme="majorBidi"/>
                      <w:sz w:val="24"/>
                      <w:szCs w:val="24"/>
                    </w:rPr>
                    <w:t xml:space="preserve"> et IMRT a permis de  quantifier l’apport des traitements avec modulation d’intensité, et par conséquent l’indication de cette technique pour les cas de cancers complexes.</w:t>
                  </w:r>
                </w:p>
                <w:p w:rsidR="003B7008" w:rsidRDefault="003B7008" w:rsidP="003B7008">
                  <w:pPr>
                    <w:autoSpaceDE w:val="0"/>
                    <w:autoSpaceDN w:val="0"/>
                    <w:adjustRightInd w:val="0"/>
                    <w:rPr>
                      <w:rFonts w:asciiTheme="majorBidi" w:hAnsiTheme="majorBidi" w:cstheme="majorBidi"/>
                      <w:sz w:val="24"/>
                      <w:szCs w:val="24"/>
                    </w:rPr>
                  </w:pPr>
                </w:p>
                <w:p w:rsidR="003B7008" w:rsidRPr="00972AC1" w:rsidRDefault="003B7008" w:rsidP="003B7008">
                  <w:pPr>
                    <w:autoSpaceDE w:val="0"/>
                    <w:autoSpaceDN w:val="0"/>
                    <w:adjustRightInd w:val="0"/>
                    <w:rPr>
                      <w:rFonts w:asciiTheme="majorBidi" w:hAnsiTheme="majorBidi" w:cstheme="majorBidi"/>
                      <w:sz w:val="24"/>
                      <w:szCs w:val="24"/>
                    </w:rPr>
                  </w:pPr>
                  <w:r w:rsidRPr="00972AC1">
                    <w:rPr>
                      <w:rFonts w:asciiTheme="majorBidi" w:hAnsiTheme="majorBidi" w:cstheme="majorBidi"/>
                      <w:b/>
                      <w:bCs/>
                      <w:sz w:val="24"/>
                      <w:szCs w:val="24"/>
                    </w:rPr>
                    <w:t xml:space="preserve">Mots-clefs : </w:t>
                  </w:r>
                  <w:r w:rsidRPr="00972AC1">
                    <w:rPr>
                      <w:rFonts w:asciiTheme="majorBidi" w:hAnsiTheme="majorBidi" w:cstheme="majorBidi"/>
                      <w:sz w:val="24"/>
                      <w:szCs w:val="24"/>
                    </w:rPr>
                    <w:t xml:space="preserve">Modulation d’intensité, système de planification inverse, algorithme de calcul de dose, </w:t>
                  </w:r>
                  <w:proofErr w:type="spellStart"/>
                  <w:r w:rsidRPr="00972AC1">
                    <w:rPr>
                      <w:rFonts w:asciiTheme="majorBidi" w:hAnsiTheme="majorBidi" w:cstheme="majorBidi"/>
                      <w:sz w:val="24"/>
                      <w:szCs w:val="24"/>
                    </w:rPr>
                    <w:t>commissioning</w:t>
                  </w:r>
                  <w:proofErr w:type="spellEnd"/>
                  <w:r w:rsidRPr="00972AC1">
                    <w:rPr>
                      <w:rFonts w:asciiTheme="majorBidi" w:hAnsiTheme="majorBidi" w:cstheme="majorBidi"/>
                      <w:sz w:val="24"/>
                      <w:szCs w:val="24"/>
                    </w:rPr>
                    <w:t xml:space="preserve"> de TPS, contrôle qualité de plan de traitement. </w:t>
                  </w:r>
                </w:p>
              </w:txbxContent>
            </v:textbox>
          </v:shape>
        </w:pict>
      </w:r>
    </w:p>
    <w:sectPr w:rsidR="0000000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compat>
    <w:useFELayout/>
  </w:compat>
  <w:rsids>
    <w:rsidRoot w:val="003B7008"/>
    <w:rsid w:val="003B700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Words>
  <Characters>121</Characters>
  <Application>Microsoft Office Word</Application>
  <DocSecurity>0</DocSecurity>
  <Lines>1</Lines>
  <Paragraphs>1</Paragraphs>
  <ScaleCrop>false</ScaleCrop>
  <Company/>
  <LinksUpToDate>false</LinksUpToDate>
  <CharactersWithSpaces>141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Habiba</dc:creator>
  <cp:keywords/>
  <dc:description/>
  <cp:lastModifiedBy>Habiba</cp:lastModifiedBy>
  <cp:revision>2</cp:revision>
  <dcterms:created xsi:type="dcterms:W3CDTF">2013-01-28T11:58:00Z</dcterms:created>
  <dcterms:modified xsi:type="dcterms:W3CDTF">2013-01-28T11:58:00Z</dcterms:modified>
</cp:coreProperties>
</file>