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43C7" w:rsidRDefault="006843C7" w:rsidP="006843C7">
      <w:r>
        <w:t xml:space="preserve">Dans le présent travail,  nous nous intéressons à la structure multi-échelle et à l'étude des propriétés mécaniques des  gels de polymères thermosensibles à base de </w:t>
      </w:r>
      <w:proofErr w:type="spellStart"/>
      <w:r>
        <w:t>pNIPA</w:t>
      </w:r>
      <w:proofErr w:type="spellEnd"/>
      <w:r>
        <w:t xml:space="preserve">. Nous avons fait une étude systématique des changements  structuraux de ces milieux en fonction de la température et de la concentration de </w:t>
      </w:r>
      <w:proofErr w:type="spellStart"/>
      <w:r>
        <w:t>co-polymères</w:t>
      </w:r>
      <w:proofErr w:type="spellEnd"/>
      <w:r>
        <w:t xml:space="preserve"> biodégradables  </w:t>
      </w:r>
      <w:proofErr w:type="gramStart"/>
      <w:r>
        <w:t>p(</w:t>
      </w:r>
      <w:proofErr w:type="gramEnd"/>
      <w:r>
        <w:t>HEMA-LLA-D) [poly (2-</w:t>
      </w:r>
      <w:proofErr w:type="spellStart"/>
      <w:r>
        <w:t>Hydroxyethyl</w:t>
      </w:r>
      <w:proofErr w:type="spellEnd"/>
      <w:r>
        <w:t xml:space="preserve"> </w:t>
      </w:r>
      <w:proofErr w:type="spellStart"/>
      <w:r>
        <w:t>Methacrylate</w:t>
      </w:r>
      <w:proofErr w:type="spellEnd"/>
      <w:r>
        <w:t>-L-</w:t>
      </w:r>
      <w:proofErr w:type="spellStart"/>
      <w:r>
        <w:t>Lactide</w:t>
      </w:r>
      <w:proofErr w:type="spellEnd"/>
      <w:r>
        <w:t>-</w:t>
      </w:r>
      <w:proofErr w:type="spellStart"/>
      <w:r>
        <w:t>Dextran</w:t>
      </w:r>
      <w:proofErr w:type="spellEnd"/>
      <w:r>
        <w:t xml:space="preserve">)]. Nous avons réparti notre travail sur deux parties  essentielles. La première concerne la structure des </w:t>
      </w:r>
      <w:proofErr w:type="spellStart"/>
      <w:r>
        <w:t>cryogels</w:t>
      </w:r>
      <w:proofErr w:type="spellEnd"/>
      <w:r>
        <w:t xml:space="preserve"> à différentes échelles allant du nanomètre à plusieurs  dizaines de micromètres en utilisant la microscopie de fluorescence par absorption à deux photons (microscopie  </w:t>
      </w:r>
      <w:proofErr w:type="spellStart"/>
      <w:r>
        <w:t>biphotonique</w:t>
      </w:r>
      <w:proofErr w:type="spellEnd"/>
      <w:r>
        <w:t>) et  la technique de diffusion des rayons X aux petits et grands angles (SAXS et WAXS). Nous avons montré</w:t>
      </w:r>
    </w:p>
    <w:p w:rsidR="006843C7" w:rsidRDefault="006843C7" w:rsidP="006843C7">
      <w:r>
        <w:t xml:space="preserve"> pour la première fois l'intérêt de la microscopie </w:t>
      </w:r>
      <w:proofErr w:type="spellStart"/>
      <w:r>
        <w:t>biphotonique</w:t>
      </w:r>
      <w:proofErr w:type="spellEnd"/>
      <w:r>
        <w:t xml:space="preserve"> pour la détermination de la distribution de la taille de  </w:t>
      </w:r>
      <w:proofErr w:type="spellStart"/>
      <w:r>
        <w:t>macropores</w:t>
      </w:r>
      <w:proofErr w:type="spellEnd"/>
      <w:r>
        <w:t xml:space="preserve"> de </w:t>
      </w:r>
      <w:proofErr w:type="spellStart"/>
      <w:r>
        <w:t>cryogels</w:t>
      </w:r>
      <w:proofErr w:type="spellEnd"/>
      <w:r>
        <w:t xml:space="preserve"> in situ, en associant à cette technique un logiciel de traitement </w:t>
      </w:r>
      <w:proofErr w:type="gramStart"/>
      <w:r>
        <w:t>d'image .</w:t>
      </w:r>
      <w:proofErr w:type="gramEnd"/>
      <w:r>
        <w:t xml:space="preserve">    Nous avons ainsi  évalué l'épaisseur des parois et la taille des </w:t>
      </w:r>
      <w:proofErr w:type="spellStart"/>
      <w:r>
        <w:t>macropores</w:t>
      </w:r>
      <w:proofErr w:type="spellEnd"/>
      <w:r>
        <w:t xml:space="preserve"> constituant les différents </w:t>
      </w:r>
      <w:proofErr w:type="spellStart"/>
      <w:r>
        <w:t>cryogels</w:t>
      </w:r>
      <w:proofErr w:type="spellEnd"/>
      <w:r>
        <w:t xml:space="preserve"> à l'aide d'une analyse  statistique. Par la méthode SAXS et WAXS, nous mettons en évidence, pour la première fois, les modifications structurales  induites par la température à l'échelle moléculaire du </w:t>
      </w:r>
      <w:proofErr w:type="spellStart"/>
      <w:r>
        <w:t>cryogel</w:t>
      </w:r>
      <w:proofErr w:type="spellEnd"/>
      <w:r>
        <w:t xml:space="preserve"> </w:t>
      </w:r>
      <w:proofErr w:type="spellStart"/>
      <w:r>
        <w:t>pNIPA</w:t>
      </w:r>
      <w:proofErr w:type="spellEnd"/>
      <w:r>
        <w:t xml:space="preserve">. </w:t>
      </w:r>
    </w:p>
    <w:p w:rsidR="006843C7" w:rsidRDefault="006843C7" w:rsidP="006843C7">
      <w:r>
        <w:t xml:space="preserve">   Dans la deuxième partie, nous avons rapporté les premiers résultats obtenus, dans l'étude des propriétés élastiques  et thermiques des gels de </w:t>
      </w:r>
      <w:proofErr w:type="spellStart"/>
      <w:r>
        <w:t>pNIPA</w:t>
      </w:r>
      <w:proofErr w:type="spellEnd"/>
      <w:r>
        <w:t xml:space="preserve">, en utilisant pour la première fois la méthode des réseaux transitoires avec la détection  hétérodyne (HD-TG). Cette méthode consiste en la génération par laser de phonons hyperfréquences dont la vitesse de  propagation et leur atténuation sont liées aux propriétés hydrodynamiques du milieu considéré. Nous avons ainsi montré  que, à la fréquence utilisée (environ 340 MHz), l'augmentation, avec la température pour   , de la vitesse du son et de  l'amortissement de l'onde dans le gel de </w:t>
      </w:r>
      <w:proofErr w:type="spellStart"/>
      <w:r>
        <w:t>pNIPA</w:t>
      </w:r>
      <w:proofErr w:type="spellEnd"/>
      <w:r>
        <w:t xml:space="preserve"> était semblable à celle de la fraction volumique en polymère. </w:t>
      </w:r>
    </w:p>
    <w:p w:rsidR="006843C7" w:rsidRDefault="006843C7" w:rsidP="006843C7">
      <w:r>
        <w:t>L'extrapolation à fraction volumique nulle de la droite reliant ces grandeurs à la fraction volumique de gel est en bon  accord avec celles obtenues pour l'eau pure. Nous avons aussi suivi la variation du coefficient de diffusion thermique  pour les mêmes températures.</w:t>
      </w:r>
    </w:p>
    <w:p w:rsidR="00F77404" w:rsidRDefault="006843C7" w:rsidP="006843C7">
      <w:r>
        <w:t xml:space="preserve">   Les résultats de ces deux parties, ont été corroborés par une analyse macroscopique de la transition de phase par la  mesure du taux de gonflement des gels et </w:t>
      </w:r>
      <w:proofErr w:type="spellStart"/>
      <w:r>
        <w:t>cryogels</w:t>
      </w:r>
      <w:proofErr w:type="spellEnd"/>
      <w:r>
        <w:t xml:space="preserve"> à base de </w:t>
      </w:r>
      <w:proofErr w:type="spellStart"/>
      <w:r>
        <w:t>pNIPA</w:t>
      </w:r>
      <w:proofErr w:type="spellEnd"/>
      <w:r>
        <w:t xml:space="preserve"> et aussi que par une analyse thermodynamique en  utilisant la technique d'analyse </w:t>
      </w:r>
      <w:proofErr w:type="spellStart"/>
      <w:r>
        <w:t>enthalpique</w:t>
      </w:r>
      <w:proofErr w:type="spellEnd"/>
      <w:r>
        <w:t xml:space="preserve"> différentielle (DSC).   </w:t>
      </w:r>
    </w:p>
    <w:sectPr w:rsidR="00F77404" w:rsidSect="00F77404">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6843C7"/>
    <w:rsid w:val="006843C7"/>
    <w:rsid w:val="00F7740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7740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407</Words>
  <Characters>2243</Characters>
  <Application>Microsoft Office Word</Application>
  <DocSecurity>0</DocSecurity>
  <Lines>18</Lines>
  <Paragraphs>5</Paragraphs>
  <ScaleCrop>false</ScaleCrop>
  <Company/>
  <LinksUpToDate>false</LinksUpToDate>
  <CharactersWithSpaces>2645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2014-12-03T11:18:00Z</dcterms:created>
  <dcterms:modified xsi:type="dcterms:W3CDTF">2014-12-03T11:19:00Z</dcterms:modified>
</cp:coreProperties>
</file>