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7A4" w:rsidRPr="00D167A4" w:rsidRDefault="00D167A4" w:rsidP="00D167A4">
      <w:pPr>
        <w:tabs>
          <w:tab w:val="left" w:pos="1830"/>
        </w:tabs>
        <w:autoSpaceDE w:val="0"/>
        <w:autoSpaceDN w:val="0"/>
        <w:adjustRightInd w:val="0"/>
        <w:spacing w:before="100" w:beforeAutospacing="1" w:after="100" w:afterAutospacing="1" w:line="360" w:lineRule="exact"/>
        <w:ind w:right="-2"/>
        <w:jc w:val="both"/>
        <w:rPr>
          <w:rFonts w:ascii="Times New Roman" w:hAnsi="Times New Roman" w:cs="Times New Roman"/>
          <w:b/>
          <w:bCs/>
          <w:sz w:val="24"/>
          <w:szCs w:val="24"/>
        </w:rPr>
      </w:pPr>
      <w:r>
        <w:rPr>
          <w:rFonts w:ascii="Times New Roman" w:hAnsi="Times New Roman" w:cs="Times New Roman"/>
          <w:sz w:val="24"/>
          <w:szCs w:val="24"/>
        </w:rPr>
        <w:t xml:space="preserve">   </w:t>
      </w:r>
      <w:r w:rsidRPr="00D167A4">
        <w:rPr>
          <w:rFonts w:ascii="Times New Roman" w:hAnsi="Times New Roman" w:cs="Times New Roman"/>
          <w:b/>
          <w:bCs/>
          <w:sz w:val="24"/>
          <w:szCs w:val="24"/>
        </w:rPr>
        <w:t>Résumé</w:t>
      </w:r>
    </w:p>
    <w:p w:rsidR="003B5941" w:rsidRPr="00BA4891" w:rsidRDefault="001C5DC9" w:rsidP="003B5941">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3B5941" w:rsidRPr="00BA4891">
        <w:rPr>
          <w:rFonts w:ascii="Times New Roman" w:hAnsi="Times New Roman" w:cs="Times New Roman"/>
          <w:sz w:val="24"/>
          <w:szCs w:val="24"/>
        </w:rPr>
        <w:t xml:space="preserve">   La cohésion du sol est influencée par des agents de liaison. Ces derniers, très souvent de nature organique, peuvent être classés comme persistants (produits aromatiques), temporaires (racines et  hyphes des champignons) et transitoires, (constitués essentiellement de polysaccharides). Quelques travaux ont montré que ce sont les polysaccharides qui représentent les agents de liaison les plus performants dans l’agrégation des particules du sol. </w:t>
      </w:r>
    </w:p>
    <w:p w:rsidR="003B5941" w:rsidRPr="00BA4891" w:rsidRDefault="003B5941" w:rsidP="003B5941">
      <w:pPr>
        <w:spacing w:after="0"/>
        <w:jc w:val="both"/>
        <w:rPr>
          <w:rFonts w:ascii="Times New Roman" w:hAnsi="Times New Roman" w:cs="Times New Roman"/>
          <w:sz w:val="24"/>
          <w:szCs w:val="24"/>
        </w:rPr>
      </w:pPr>
      <w:r w:rsidRPr="00BA4891">
        <w:rPr>
          <w:rFonts w:ascii="Times New Roman" w:hAnsi="Times New Roman" w:cs="Times New Roman"/>
          <w:sz w:val="24"/>
          <w:szCs w:val="24"/>
        </w:rPr>
        <w:t xml:space="preserve">   </w:t>
      </w:r>
    </w:p>
    <w:p w:rsidR="003B5941" w:rsidRPr="00BA4891" w:rsidRDefault="003B5941" w:rsidP="003B5941">
      <w:pPr>
        <w:spacing w:after="0"/>
        <w:jc w:val="both"/>
        <w:rPr>
          <w:rFonts w:ascii="Times New Roman" w:hAnsi="Times New Roman" w:cs="Times New Roman"/>
          <w:i/>
          <w:iCs/>
          <w:sz w:val="24"/>
          <w:szCs w:val="24"/>
        </w:rPr>
      </w:pPr>
      <w:r w:rsidRPr="00BA4891">
        <w:rPr>
          <w:rFonts w:ascii="Times New Roman" w:hAnsi="Times New Roman" w:cs="Times New Roman"/>
          <w:sz w:val="24"/>
          <w:szCs w:val="24"/>
        </w:rPr>
        <w:t xml:space="preserve">   Dans le présent travail, nous nous proposons de tester l’effet d’un polysaccharide bactérien sur la stabilité structurale d’un sol provenant de la wilaya de Biskra. Nous avons, pour cela, choisi une bactérie productrice d’</w:t>
      </w:r>
      <w:proofErr w:type="spellStart"/>
      <w:r w:rsidRPr="00BA4891">
        <w:rPr>
          <w:rFonts w:ascii="Times New Roman" w:hAnsi="Times New Roman" w:cs="Times New Roman"/>
          <w:sz w:val="24"/>
          <w:szCs w:val="24"/>
        </w:rPr>
        <w:t>exopolysaccharide</w:t>
      </w:r>
      <w:proofErr w:type="spellEnd"/>
      <w:r w:rsidRPr="00BA4891">
        <w:rPr>
          <w:rFonts w:ascii="Times New Roman" w:hAnsi="Times New Roman" w:cs="Times New Roman"/>
          <w:sz w:val="24"/>
          <w:szCs w:val="24"/>
        </w:rPr>
        <w:t xml:space="preserve"> (</w:t>
      </w:r>
      <w:proofErr w:type="spellStart"/>
      <w:r w:rsidRPr="00BA4891">
        <w:rPr>
          <w:rFonts w:ascii="Times New Roman" w:hAnsi="Times New Roman" w:cs="Times New Roman"/>
          <w:i/>
          <w:iCs/>
          <w:sz w:val="24"/>
          <w:szCs w:val="24"/>
        </w:rPr>
        <w:t>Burkholderia</w:t>
      </w:r>
      <w:proofErr w:type="spellEnd"/>
      <w:r>
        <w:rPr>
          <w:rFonts w:ascii="Times New Roman" w:hAnsi="Times New Roman" w:cs="Times New Roman"/>
          <w:i/>
          <w:iCs/>
          <w:sz w:val="24"/>
          <w:szCs w:val="24"/>
        </w:rPr>
        <w:t xml:space="preserve"> </w:t>
      </w:r>
      <w:proofErr w:type="spellStart"/>
      <w:r w:rsidRPr="00BA4891">
        <w:rPr>
          <w:rFonts w:ascii="Times New Roman" w:hAnsi="Times New Roman" w:cs="Times New Roman"/>
          <w:i/>
          <w:iCs/>
          <w:sz w:val="24"/>
          <w:szCs w:val="24"/>
        </w:rPr>
        <w:t>fungorum</w:t>
      </w:r>
      <w:proofErr w:type="spellEnd"/>
      <w:r w:rsidRPr="00BA4891">
        <w:rPr>
          <w:rFonts w:ascii="Times New Roman" w:hAnsi="Times New Roman" w:cs="Times New Roman"/>
          <w:i/>
          <w:iCs/>
          <w:sz w:val="24"/>
          <w:szCs w:val="24"/>
        </w:rPr>
        <w:t xml:space="preserve"> </w:t>
      </w:r>
      <w:r w:rsidRPr="00BA4891">
        <w:rPr>
          <w:rFonts w:ascii="Times New Roman" w:hAnsi="Times New Roman" w:cs="Times New Roman"/>
          <w:sz w:val="24"/>
          <w:szCs w:val="24"/>
        </w:rPr>
        <w:t>souche Bf01).</w:t>
      </w:r>
    </w:p>
    <w:p w:rsidR="003B5941" w:rsidRPr="00BA4891" w:rsidRDefault="003B5941" w:rsidP="003B5941">
      <w:pPr>
        <w:spacing w:after="0"/>
        <w:jc w:val="both"/>
        <w:rPr>
          <w:rFonts w:ascii="Times New Roman" w:hAnsi="Times New Roman" w:cs="Times New Roman"/>
          <w:sz w:val="24"/>
          <w:szCs w:val="24"/>
        </w:rPr>
      </w:pPr>
      <w:r w:rsidRPr="00BA4891">
        <w:rPr>
          <w:rFonts w:ascii="Times New Roman" w:hAnsi="Times New Roman" w:cs="Times New Roman"/>
          <w:sz w:val="24"/>
          <w:szCs w:val="24"/>
        </w:rPr>
        <w:t xml:space="preserve">Le moût bactérien, constitué  principalement  de polysaccharides est lyophilisé. Il est mélangé au sol à raison de 0,5% et de 1%. Les sols ainsi traités et l’échantillon témoin sont  </w:t>
      </w:r>
      <w:proofErr w:type="spellStart"/>
      <w:r w:rsidRPr="00BA4891">
        <w:rPr>
          <w:rFonts w:ascii="Times New Roman" w:hAnsi="Times New Roman" w:cs="Times New Roman"/>
          <w:sz w:val="24"/>
          <w:szCs w:val="24"/>
        </w:rPr>
        <w:t>réhumectés</w:t>
      </w:r>
      <w:proofErr w:type="spellEnd"/>
      <w:r w:rsidRPr="00BA4891">
        <w:rPr>
          <w:rFonts w:ascii="Times New Roman" w:hAnsi="Times New Roman" w:cs="Times New Roman"/>
          <w:sz w:val="24"/>
          <w:szCs w:val="24"/>
        </w:rPr>
        <w:t xml:space="preserve"> à 80% de la capacité au champ et délicatement homogénéisés. Les agrégats obtenus ont fait l'objet des tests de stabilité structurale selon la méthode de Henin et Monnier (1956), de Le </w:t>
      </w:r>
      <w:proofErr w:type="spellStart"/>
      <w:r w:rsidRPr="00BA4891">
        <w:rPr>
          <w:rFonts w:ascii="Times New Roman" w:hAnsi="Times New Roman" w:cs="Times New Roman"/>
          <w:sz w:val="24"/>
          <w:szCs w:val="24"/>
        </w:rPr>
        <w:t>Bissonnais</w:t>
      </w:r>
      <w:proofErr w:type="spellEnd"/>
      <w:r w:rsidRPr="00BA4891">
        <w:rPr>
          <w:rFonts w:ascii="Times New Roman" w:hAnsi="Times New Roman" w:cs="Times New Roman"/>
          <w:sz w:val="24"/>
          <w:szCs w:val="24"/>
        </w:rPr>
        <w:t xml:space="preserve"> </w:t>
      </w:r>
      <w:r>
        <w:rPr>
          <w:rFonts w:ascii="Times New Roman" w:hAnsi="Times New Roman" w:cs="Times New Roman"/>
          <w:sz w:val="24"/>
          <w:szCs w:val="24"/>
        </w:rPr>
        <w:t>(1988), modifiée</w:t>
      </w:r>
      <w:r w:rsidRPr="00BA4891">
        <w:rPr>
          <w:rFonts w:ascii="Times New Roman" w:hAnsi="Times New Roman" w:cs="Times New Roman"/>
          <w:sz w:val="24"/>
          <w:szCs w:val="24"/>
        </w:rPr>
        <w:t xml:space="preserve"> par </w:t>
      </w:r>
      <w:proofErr w:type="spellStart"/>
      <w:r w:rsidRPr="00BA4891">
        <w:rPr>
          <w:rFonts w:ascii="Times New Roman" w:hAnsi="Times New Roman" w:cs="Times New Roman"/>
          <w:sz w:val="24"/>
          <w:szCs w:val="24"/>
        </w:rPr>
        <w:t>Bennadji</w:t>
      </w:r>
      <w:proofErr w:type="spellEnd"/>
      <w:r w:rsidRPr="00BA4891">
        <w:rPr>
          <w:rFonts w:ascii="Times New Roman" w:hAnsi="Times New Roman" w:cs="Times New Roman"/>
          <w:sz w:val="24"/>
          <w:szCs w:val="24"/>
        </w:rPr>
        <w:t xml:space="preserve"> (1996).</w:t>
      </w:r>
    </w:p>
    <w:p w:rsidR="003B5941" w:rsidRPr="00BA4891" w:rsidRDefault="003B5941" w:rsidP="003B5941">
      <w:pPr>
        <w:spacing w:after="0"/>
        <w:jc w:val="both"/>
        <w:rPr>
          <w:rFonts w:ascii="Times New Roman" w:hAnsi="Times New Roman" w:cs="Times New Roman"/>
          <w:sz w:val="24"/>
          <w:szCs w:val="24"/>
        </w:rPr>
      </w:pPr>
    </w:p>
    <w:p w:rsidR="003B5941" w:rsidRPr="00BA4891" w:rsidRDefault="003B5941" w:rsidP="003B5941">
      <w:pPr>
        <w:spacing w:after="0"/>
        <w:jc w:val="both"/>
        <w:rPr>
          <w:rFonts w:ascii="Times New Roman" w:hAnsi="Times New Roman" w:cs="Times New Roman"/>
          <w:sz w:val="24"/>
          <w:szCs w:val="24"/>
        </w:rPr>
      </w:pPr>
      <w:r w:rsidRPr="00BA4891">
        <w:rPr>
          <w:rFonts w:ascii="Times New Roman" w:hAnsi="Times New Roman" w:cs="Times New Roman"/>
          <w:sz w:val="24"/>
          <w:szCs w:val="24"/>
        </w:rPr>
        <w:t xml:space="preserve">   L’ajout de l’EPS Bf01 confère aux agrégats du sol une résistance plus grande, dont l’intensité diffère selon les contraintes apportées par chacun des tests. Nous remarquons globalement que la désagrégation est inversement proportionnelle à la quantité d’EPS ajoutée. </w:t>
      </w:r>
    </w:p>
    <w:p w:rsidR="003B5941" w:rsidRDefault="003B5941" w:rsidP="003B5941">
      <w:pPr>
        <w:spacing w:after="0"/>
        <w:jc w:val="both"/>
        <w:rPr>
          <w:rFonts w:ascii="Times New Roman" w:hAnsi="Times New Roman" w:cs="Times New Roman"/>
          <w:sz w:val="24"/>
          <w:szCs w:val="24"/>
        </w:rPr>
      </w:pPr>
      <w:r w:rsidRPr="00BA4891">
        <w:rPr>
          <w:rFonts w:ascii="Times New Roman" w:hAnsi="Times New Roman" w:cs="Times New Roman"/>
          <w:sz w:val="24"/>
          <w:szCs w:val="24"/>
        </w:rPr>
        <w:t xml:space="preserve">Les indices de cohésion (IC) des fractions du témoin se caractérisent, par rapport aux autres traitements, par leurs valeurs extrêmes : </w:t>
      </w:r>
    </w:p>
    <w:p w:rsidR="003B5941" w:rsidRPr="00BA4891" w:rsidRDefault="003B5941" w:rsidP="003B5941">
      <w:pPr>
        <w:spacing w:after="0"/>
        <w:jc w:val="both"/>
        <w:rPr>
          <w:rFonts w:ascii="Times New Roman" w:hAnsi="Times New Roman" w:cs="Times New Roman"/>
          <w:sz w:val="24"/>
          <w:szCs w:val="24"/>
        </w:rPr>
      </w:pPr>
      <w:r>
        <w:rPr>
          <w:rFonts w:ascii="Times New Roman" w:hAnsi="Times New Roman" w:cs="Times New Roman"/>
          <w:sz w:val="24"/>
          <w:szCs w:val="24"/>
        </w:rPr>
        <w:t>U</w:t>
      </w:r>
      <w:r w:rsidRPr="00BA4891">
        <w:rPr>
          <w:rFonts w:ascii="Times New Roman" w:hAnsi="Times New Roman" w:cs="Times New Roman"/>
          <w:sz w:val="24"/>
          <w:szCs w:val="24"/>
        </w:rPr>
        <w:t xml:space="preserve">n IC maximal pour la fraction moyenne (250µm-2mm), minimal pour la fraction fine (50µm-250µm) et nul pour la fraction grossière (2mm-4mm). Aussi, la cohésion des édifices de la fraction moyenne est plus importante que celle des autres fractions et ce, pour les trois traitements. </w:t>
      </w:r>
      <w:r>
        <w:rPr>
          <w:rFonts w:ascii="Times New Roman" w:hAnsi="Times New Roman" w:cs="Times New Roman"/>
          <w:sz w:val="24"/>
          <w:szCs w:val="24"/>
        </w:rPr>
        <w:t xml:space="preserve"> </w:t>
      </w:r>
      <w:r w:rsidRPr="00BA4891">
        <w:rPr>
          <w:rFonts w:ascii="Times New Roman" w:hAnsi="Times New Roman" w:cs="Times New Roman"/>
          <w:sz w:val="24"/>
          <w:szCs w:val="24"/>
        </w:rPr>
        <w:t>Les traitements enrichis en EPS ont réagi de la même manière, mais l'ajout d'EPS a fait augmenter la cohésion des agrégats de la fraction fine et fait réapparaître la fraction grossière.</w:t>
      </w:r>
    </w:p>
    <w:p w:rsidR="003B5941" w:rsidRPr="00BA4891" w:rsidRDefault="003B5941" w:rsidP="003B5941">
      <w:pPr>
        <w:spacing w:after="0"/>
        <w:jc w:val="both"/>
        <w:rPr>
          <w:rFonts w:ascii="Times New Roman" w:hAnsi="Times New Roman" w:cs="Times New Roman"/>
          <w:sz w:val="24"/>
          <w:szCs w:val="24"/>
        </w:rPr>
      </w:pPr>
    </w:p>
    <w:p w:rsidR="003B5941" w:rsidRPr="00BA4891" w:rsidRDefault="003B5941" w:rsidP="003B5941">
      <w:pPr>
        <w:spacing w:after="0"/>
        <w:jc w:val="both"/>
        <w:rPr>
          <w:rFonts w:ascii="Times New Roman" w:hAnsi="Times New Roman" w:cs="Times New Roman"/>
          <w:sz w:val="24"/>
          <w:szCs w:val="24"/>
        </w:rPr>
      </w:pPr>
      <w:r w:rsidRPr="00BA4891">
        <w:rPr>
          <w:rFonts w:ascii="Times New Roman" w:hAnsi="Times New Roman" w:cs="Times New Roman"/>
          <w:sz w:val="24"/>
          <w:szCs w:val="24"/>
        </w:rPr>
        <w:t xml:space="preserve">   Le calcul du Diamètre Moyen Pondéré, un coefficient qui permet de rassembler les résultats sous forme d’un indice global montre que le sol de Biskra passe d’un état instable (sol témoin) à un état très stable après ajout du polysaccharide Bf01 et cela est valable pour les deux concentrations d'EPS testées. </w:t>
      </w:r>
    </w:p>
    <w:p w:rsidR="003B5941" w:rsidRPr="00BA4891" w:rsidRDefault="003B5941" w:rsidP="003B5941">
      <w:pPr>
        <w:spacing w:after="0"/>
        <w:jc w:val="both"/>
        <w:rPr>
          <w:rFonts w:ascii="Times New Roman" w:hAnsi="Times New Roman" w:cs="Times New Roman"/>
          <w:sz w:val="24"/>
          <w:szCs w:val="24"/>
        </w:rPr>
      </w:pPr>
      <w:r w:rsidRPr="00BA4891">
        <w:rPr>
          <w:rFonts w:ascii="Times New Roman" w:hAnsi="Times New Roman" w:cs="Times New Roman"/>
          <w:sz w:val="24"/>
          <w:szCs w:val="24"/>
        </w:rPr>
        <w:t xml:space="preserve">  </w:t>
      </w:r>
    </w:p>
    <w:p w:rsidR="003B5941" w:rsidRPr="00BA4891" w:rsidRDefault="003B5941" w:rsidP="003B5941">
      <w:pPr>
        <w:jc w:val="both"/>
        <w:rPr>
          <w:rFonts w:ascii="Times New Roman" w:hAnsi="Times New Roman" w:cs="Times New Roman"/>
          <w:sz w:val="24"/>
          <w:szCs w:val="24"/>
        </w:rPr>
      </w:pPr>
      <w:r w:rsidRPr="00BA4891">
        <w:rPr>
          <w:rFonts w:ascii="Times New Roman" w:hAnsi="Times New Roman" w:cs="Times New Roman"/>
          <w:sz w:val="24"/>
          <w:szCs w:val="24"/>
        </w:rPr>
        <w:t xml:space="preserve">    L’action agrégative de l’EPS Bf01 est bien corrélée avec la teneur en polysaccharide. Cette agrégation est matérialisée par l’augmentation de la stabilité structurale des sols traités. </w:t>
      </w:r>
    </w:p>
    <w:p w:rsidR="001C5DC9" w:rsidRDefault="001C5DC9" w:rsidP="003B5941">
      <w:pPr>
        <w:tabs>
          <w:tab w:val="left" w:pos="1830"/>
        </w:tabs>
        <w:autoSpaceDE w:val="0"/>
        <w:autoSpaceDN w:val="0"/>
        <w:adjustRightInd w:val="0"/>
        <w:spacing w:before="100" w:beforeAutospacing="1" w:after="100" w:afterAutospacing="1" w:line="360" w:lineRule="exact"/>
        <w:ind w:right="-2"/>
        <w:jc w:val="both"/>
      </w:pPr>
      <w:bookmarkStart w:id="0" w:name="_GoBack"/>
      <w:bookmarkEnd w:id="0"/>
    </w:p>
    <w:p w:rsidR="00D167A4" w:rsidRDefault="00D167A4" w:rsidP="001C5DC9">
      <w:pPr>
        <w:tabs>
          <w:tab w:val="left" w:pos="1830"/>
        </w:tabs>
        <w:autoSpaceDE w:val="0"/>
        <w:autoSpaceDN w:val="0"/>
        <w:adjustRightInd w:val="0"/>
        <w:spacing w:before="100" w:beforeAutospacing="1" w:after="100" w:afterAutospacing="1" w:line="360" w:lineRule="exact"/>
        <w:ind w:right="-2"/>
        <w:jc w:val="both"/>
      </w:pPr>
    </w:p>
    <w:p w:rsidR="000A76F1" w:rsidRPr="00D167A4" w:rsidRDefault="00E61A72" w:rsidP="00D167A4">
      <w:r w:rsidRPr="00D167A4">
        <w:rPr>
          <w:szCs w:val="24"/>
        </w:rPr>
        <w:t xml:space="preserve"> </w:t>
      </w:r>
    </w:p>
    <w:sectPr w:rsidR="000A76F1" w:rsidRPr="00D167A4" w:rsidSect="00FE2B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25443A"/>
    <w:multiLevelType w:val="hybridMultilevel"/>
    <w:tmpl w:val="8AD2291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471EE4"/>
    <w:rsid w:val="00031DC4"/>
    <w:rsid w:val="00055838"/>
    <w:rsid w:val="000A76F1"/>
    <w:rsid w:val="000C1CB7"/>
    <w:rsid w:val="000C629E"/>
    <w:rsid w:val="000E15B9"/>
    <w:rsid w:val="001270C4"/>
    <w:rsid w:val="0016077D"/>
    <w:rsid w:val="0017367E"/>
    <w:rsid w:val="001C5DC9"/>
    <w:rsid w:val="001D19C6"/>
    <w:rsid w:val="001E5ADD"/>
    <w:rsid w:val="0026527A"/>
    <w:rsid w:val="00271CB9"/>
    <w:rsid w:val="002826C3"/>
    <w:rsid w:val="00287EBE"/>
    <w:rsid w:val="00290FF3"/>
    <w:rsid w:val="002A482B"/>
    <w:rsid w:val="00322378"/>
    <w:rsid w:val="00340048"/>
    <w:rsid w:val="00343B2F"/>
    <w:rsid w:val="003616D5"/>
    <w:rsid w:val="003750E9"/>
    <w:rsid w:val="00393801"/>
    <w:rsid w:val="003B2426"/>
    <w:rsid w:val="003B5941"/>
    <w:rsid w:val="004173C9"/>
    <w:rsid w:val="004628D0"/>
    <w:rsid w:val="00465343"/>
    <w:rsid w:val="00471EE4"/>
    <w:rsid w:val="005018D1"/>
    <w:rsid w:val="005123C7"/>
    <w:rsid w:val="00524F33"/>
    <w:rsid w:val="0057678C"/>
    <w:rsid w:val="0058700E"/>
    <w:rsid w:val="005960E4"/>
    <w:rsid w:val="00596708"/>
    <w:rsid w:val="005B122D"/>
    <w:rsid w:val="005E44D6"/>
    <w:rsid w:val="005F4853"/>
    <w:rsid w:val="00623E42"/>
    <w:rsid w:val="0066570C"/>
    <w:rsid w:val="00694755"/>
    <w:rsid w:val="00751E82"/>
    <w:rsid w:val="007645C4"/>
    <w:rsid w:val="007C659A"/>
    <w:rsid w:val="008B698D"/>
    <w:rsid w:val="008E1F62"/>
    <w:rsid w:val="00902BC8"/>
    <w:rsid w:val="00926F31"/>
    <w:rsid w:val="00932156"/>
    <w:rsid w:val="00980C29"/>
    <w:rsid w:val="0098749F"/>
    <w:rsid w:val="009E7F0D"/>
    <w:rsid w:val="009F1639"/>
    <w:rsid w:val="009F6E4A"/>
    <w:rsid w:val="00A43FAD"/>
    <w:rsid w:val="00A57D2E"/>
    <w:rsid w:val="00A74703"/>
    <w:rsid w:val="00AC3F7A"/>
    <w:rsid w:val="00B44EE4"/>
    <w:rsid w:val="00B44F47"/>
    <w:rsid w:val="00B768D9"/>
    <w:rsid w:val="00B872FC"/>
    <w:rsid w:val="00BB41DE"/>
    <w:rsid w:val="00C2501B"/>
    <w:rsid w:val="00C64097"/>
    <w:rsid w:val="00CC41F1"/>
    <w:rsid w:val="00CF4E50"/>
    <w:rsid w:val="00D167A4"/>
    <w:rsid w:val="00D2134A"/>
    <w:rsid w:val="00D3604D"/>
    <w:rsid w:val="00D56028"/>
    <w:rsid w:val="00D640C2"/>
    <w:rsid w:val="00D6683A"/>
    <w:rsid w:val="00D910EC"/>
    <w:rsid w:val="00D94285"/>
    <w:rsid w:val="00DA0FB2"/>
    <w:rsid w:val="00DC3DA0"/>
    <w:rsid w:val="00E37540"/>
    <w:rsid w:val="00E41A57"/>
    <w:rsid w:val="00E5167C"/>
    <w:rsid w:val="00E61A72"/>
    <w:rsid w:val="00EF394E"/>
    <w:rsid w:val="00F27BA7"/>
    <w:rsid w:val="00F27C8D"/>
    <w:rsid w:val="00F560F5"/>
    <w:rsid w:val="00F7504A"/>
    <w:rsid w:val="00FC5765"/>
    <w:rsid w:val="00FE0811"/>
    <w:rsid w:val="00FE2B39"/>
    <w:rsid w:val="00FE74A5"/>
    <w:rsid w:val="00FF6AD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EE4"/>
    <w:rPr>
      <w:rFonts w:eastAsiaTheme="minorEastAsia"/>
      <w:lang w:eastAsia="fr-FR"/>
    </w:rPr>
  </w:style>
  <w:style w:type="paragraph" w:styleId="Titre3">
    <w:name w:val="heading 3"/>
    <w:basedOn w:val="Normal"/>
    <w:link w:val="Titre3Car"/>
    <w:uiPriority w:val="9"/>
    <w:qFormat/>
    <w:rsid w:val="000C629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0C629E"/>
    <w:rPr>
      <w:rFonts w:ascii="Times New Roman" w:eastAsia="Times New Roman" w:hAnsi="Times New Roman" w:cs="Times New Roman"/>
      <w:b/>
      <w:bCs/>
      <w:sz w:val="27"/>
      <w:szCs w:val="27"/>
    </w:rPr>
  </w:style>
  <w:style w:type="character" w:styleId="lev">
    <w:name w:val="Strong"/>
    <w:basedOn w:val="Policepardfaut"/>
    <w:uiPriority w:val="22"/>
    <w:qFormat/>
    <w:rsid w:val="000C629E"/>
    <w:rPr>
      <w:b/>
      <w:bCs/>
    </w:rPr>
  </w:style>
  <w:style w:type="character" w:styleId="Accentuation">
    <w:name w:val="Emphasis"/>
    <w:basedOn w:val="Policepardfaut"/>
    <w:uiPriority w:val="20"/>
    <w:qFormat/>
    <w:rsid w:val="000C629E"/>
    <w:rPr>
      <w:i/>
      <w:iCs/>
    </w:rPr>
  </w:style>
  <w:style w:type="paragraph" w:styleId="Paragraphedeliste">
    <w:name w:val="List Paragraph"/>
    <w:basedOn w:val="Normal"/>
    <w:uiPriority w:val="34"/>
    <w:qFormat/>
    <w:rsid w:val="000C629E"/>
    <w:pPr>
      <w:ind w:left="720"/>
      <w:contextualSpacing/>
    </w:pPr>
  </w:style>
  <w:style w:type="paragraph" w:styleId="Textedebulles">
    <w:name w:val="Balloon Text"/>
    <w:basedOn w:val="Normal"/>
    <w:link w:val="TextedebullesCar"/>
    <w:uiPriority w:val="99"/>
    <w:semiHidden/>
    <w:unhideWhenUsed/>
    <w:rsid w:val="00471EE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71EE4"/>
    <w:rPr>
      <w:rFonts w:ascii="Tahoma" w:eastAsiaTheme="minorEastAsia" w:hAnsi="Tahoma" w:cs="Tahoma"/>
      <w:sz w:val="16"/>
      <w:szCs w:val="16"/>
      <w:lang w:eastAsia="fr-FR"/>
    </w:rPr>
  </w:style>
  <w:style w:type="table" w:styleId="Grilledutableau">
    <w:name w:val="Table Grid"/>
    <w:basedOn w:val="TableauNormal"/>
    <w:uiPriority w:val="59"/>
    <w:rsid w:val="00B44EE4"/>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A76F1"/>
    <w:pPr>
      <w:autoSpaceDE w:val="0"/>
      <w:autoSpaceDN w:val="0"/>
      <w:adjustRightInd w:val="0"/>
      <w:spacing w:after="0" w:line="240" w:lineRule="auto"/>
    </w:pPr>
    <w:rPr>
      <w:rFonts w:ascii="Cambria" w:hAnsi="Cambria" w:cs="Cambria"/>
      <w:color w:val="000000"/>
      <w:sz w:val="24"/>
      <w:szCs w:val="24"/>
    </w:rPr>
  </w:style>
  <w:style w:type="paragraph" w:customStyle="1" w:styleId="twunmatched">
    <w:name w:val="twunmatched"/>
    <w:basedOn w:val="Normal"/>
    <w:rsid w:val="0017367E"/>
    <w:pPr>
      <w:spacing w:before="100" w:beforeAutospacing="1" w:after="100" w:afterAutospacing="1" w:line="240" w:lineRule="auto"/>
    </w:pPr>
    <w:rPr>
      <w:rFonts w:ascii="Times New Roman" w:eastAsia="Times New Roman" w:hAnsi="Times New Roman" w:cs="Times New Roman"/>
      <w:sz w:val="24"/>
      <w:szCs w:val="24"/>
    </w:rPr>
  </w:style>
  <w:style w:type="character" w:styleId="Marquedecommentaire">
    <w:name w:val="annotation reference"/>
    <w:basedOn w:val="Policepardfaut"/>
    <w:uiPriority w:val="99"/>
    <w:semiHidden/>
    <w:unhideWhenUsed/>
    <w:rsid w:val="00D910EC"/>
    <w:rPr>
      <w:sz w:val="16"/>
      <w:szCs w:val="16"/>
    </w:rPr>
  </w:style>
  <w:style w:type="paragraph" w:styleId="Commentaire">
    <w:name w:val="annotation text"/>
    <w:basedOn w:val="Normal"/>
    <w:link w:val="CommentaireCar"/>
    <w:uiPriority w:val="99"/>
    <w:semiHidden/>
    <w:unhideWhenUsed/>
    <w:rsid w:val="00D910EC"/>
    <w:pPr>
      <w:spacing w:line="240" w:lineRule="auto"/>
    </w:pPr>
    <w:rPr>
      <w:sz w:val="20"/>
      <w:szCs w:val="20"/>
    </w:rPr>
  </w:style>
  <w:style w:type="character" w:customStyle="1" w:styleId="CommentaireCar">
    <w:name w:val="Commentaire Car"/>
    <w:basedOn w:val="Policepardfaut"/>
    <w:link w:val="Commentaire"/>
    <w:uiPriority w:val="99"/>
    <w:semiHidden/>
    <w:rsid w:val="00D910EC"/>
    <w:rPr>
      <w:rFonts w:eastAsiaTheme="minorEastAsia"/>
      <w:sz w:val="20"/>
      <w:szCs w:val="20"/>
      <w:lang w:eastAsia="fr-FR"/>
    </w:rPr>
  </w:style>
  <w:style w:type="paragraph" w:styleId="Objetducommentaire">
    <w:name w:val="annotation subject"/>
    <w:basedOn w:val="Commentaire"/>
    <w:next w:val="Commentaire"/>
    <w:link w:val="ObjetducommentaireCar"/>
    <w:uiPriority w:val="99"/>
    <w:semiHidden/>
    <w:unhideWhenUsed/>
    <w:rsid w:val="00D910EC"/>
    <w:rPr>
      <w:b/>
      <w:bCs/>
    </w:rPr>
  </w:style>
  <w:style w:type="character" w:customStyle="1" w:styleId="ObjetducommentaireCar">
    <w:name w:val="Objet du commentaire Car"/>
    <w:basedOn w:val="CommentaireCar"/>
    <w:link w:val="Objetducommentaire"/>
    <w:uiPriority w:val="99"/>
    <w:semiHidden/>
    <w:rsid w:val="00D910EC"/>
    <w:rPr>
      <w:rFonts w:eastAsiaTheme="minorEastAsia"/>
      <w:b/>
      <w:bCs/>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6700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1</Pages>
  <Words>394</Words>
  <Characters>2170</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Administrateur</cp:lastModifiedBy>
  <cp:revision>13</cp:revision>
  <dcterms:created xsi:type="dcterms:W3CDTF">2014-06-19T07:57:00Z</dcterms:created>
  <dcterms:modified xsi:type="dcterms:W3CDTF">2016-11-15T11:13:00Z</dcterms:modified>
</cp:coreProperties>
</file>