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559" w:rsidRDefault="008B1559" w:rsidP="0039410B">
      <w:pPr>
        <w:jc w:val="center"/>
        <w:rPr>
          <w:rFonts w:asciiTheme="majorHAnsi" w:hAnsiTheme="majorHAnsi" w:cs="CMBX12"/>
          <w:b/>
          <w:sz w:val="28"/>
          <w:szCs w:val="28"/>
        </w:rPr>
      </w:pPr>
      <w:r>
        <w:rPr>
          <w:rFonts w:asciiTheme="majorHAnsi" w:hAnsiTheme="majorHAnsi" w:cs="CMBX12"/>
          <w:b/>
          <w:noProof/>
          <w:sz w:val="28"/>
          <w:szCs w:val="28"/>
          <w:lang w:eastAsia="fr-FR"/>
        </w:rPr>
        <w:drawing>
          <wp:inline distT="0" distB="0" distL="0" distR="0">
            <wp:extent cx="1891862" cy="1085598"/>
            <wp:effectExtent l="19050" t="0" r="0" b="0"/>
            <wp:docPr id="1" name="Image 1" descr="D:\math\hanane thèse\page de garde\usth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ath\hanane thèse\page de garde\usthb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620" cy="1087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1D7B" w:rsidRPr="0039410B" w:rsidRDefault="0039410B" w:rsidP="0039410B">
      <w:pPr>
        <w:jc w:val="center"/>
        <w:rPr>
          <w:rFonts w:asciiTheme="majorHAnsi" w:hAnsiTheme="majorHAnsi" w:cs="CMBX12"/>
          <w:b/>
          <w:sz w:val="28"/>
          <w:szCs w:val="28"/>
        </w:rPr>
      </w:pPr>
      <w:r w:rsidRPr="0039410B">
        <w:rPr>
          <w:rFonts w:asciiTheme="majorHAnsi" w:hAnsiTheme="majorHAnsi" w:cs="CMBX12"/>
          <w:b/>
          <w:sz w:val="28"/>
          <w:szCs w:val="28"/>
        </w:rPr>
        <w:t>UNIVERSIT</w:t>
      </w:r>
      <m:oMath>
        <m:acc>
          <m:accPr>
            <m:chr m:val="́"/>
            <m:ctrlPr>
              <w:rPr>
                <w:rFonts w:ascii="Cambria Math" w:hAnsiTheme="majorHAnsi" w:cs="CMBX10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Theme="majorHAnsi" w:cs="CMBX10"/>
                <w:sz w:val="28"/>
                <w:szCs w:val="28"/>
              </w:rPr>
              <m:t>E</m:t>
            </m:r>
          </m:e>
        </m:acc>
      </m:oMath>
      <w:r w:rsidRPr="0039410B">
        <w:rPr>
          <w:rFonts w:asciiTheme="majorHAnsi" w:eastAsiaTheme="minorEastAsia" w:hAnsiTheme="majorHAnsi" w:cs="CMBX12"/>
          <w:b/>
          <w:sz w:val="28"/>
          <w:szCs w:val="28"/>
        </w:rPr>
        <w:t xml:space="preserve"> </w:t>
      </w:r>
      <w:r w:rsidRPr="0039410B">
        <w:rPr>
          <w:rFonts w:asciiTheme="majorHAnsi" w:hAnsiTheme="majorHAnsi" w:cs="CMBX12"/>
          <w:b/>
          <w:sz w:val="28"/>
          <w:szCs w:val="28"/>
        </w:rPr>
        <w:t>DES SCIENCES ET DE LA TECHNOLOGIE</w:t>
      </w:r>
    </w:p>
    <w:p w:rsidR="0039410B" w:rsidRPr="0039410B" w:rsidRDefault="0039410B" w:rsidP="0039410B">
      <w:pPr>
        <w:jc w:val="center"/>
        <w:rPr>
          <w:rFonts w:asciiTheme="majorHAnsi" w:hAnsiTheme="majorHAnsi" w:cs="CMBX12"/>
          <w:b/>
          <w:sz w:val="28"/>
          <w:szCs w:val="28"/>
        </w:rPr>
      </w:pPr>
      <w:r w:rsidRPr="0039410B">
        <w:rPr>
          <w:rFonts w:asciiTheme="majorHAnsi" w:hAnsiTheme="majorHAnsi" w:cs="CMBX12"/>
          <w:b/>
          <w:sz w:val="28"/>
          <w:szCs w:val="28"/>
        </w:rPr>
        <w:t>HOUARI BOUMEDIENNE</w:t>
      </w:r>
    </w:p>
    <w:p w:rsidR="0039410B" w:rsidRPr="0039410B" w:rsidRDefault="0039410B" w:rsidP="0039410B">
      <w:pPr>
        <w:jc w:val="center"/>
        <w:rPr>
          <w:rFonts w:asciiTheme="majorHAnsi" w:hAnsiTheme="majorHAnsi" w:cs="CMBX10"/>
          <w:b/>
          <w:sz w:val="24"/>
          <w:szCs w:val="24"/>
        </w:rPr>
      </w:pPr>
      <w:r w:rsidRPr="0039410B">
        <w:rPr>
          <w:rFonts w:asciiTheme="majorHAnsi" w:hAnsiTheme="majorHAnsi" w:cs="CMBX10"/>
          <w:b/>
          <w:sz w:val="24"/>
          <w:szCs w:val="24"/>
        </w:rPr>
        <w:t>FACULT</w:t>
      </w:r>
      <m:oMath>
        <m:acc>
          <m:accPr>
            <m:chr m:val="́"/>
            <m:ctrlPr>
              <w:rPr>
                <w:rFonts w:ascii="Cambria Math" w:hAnsiTheme="majorHAnsi" w:cs="CMBX10"/>
                <w:b/>
                <w:sz w:val="24"/>
                <w:szCs w:val="24"/>
              </w:rPr>
            </m:ctrlPr>
          </m:accPr>
          <m:e>
            <m:r>
              <m:rPr>
                <m:sty m:val="b"/>
              </m:rPr>
              <w:rPr>
                <w:rFonts w:ascii="Cambria Math" w:hAnsiTheme="majorHAnsi" w:cs="CMBX10"/>
                <w:sz w:val="24"/>
                <w:szCs w:val="24"/>
              </w:rPr>
              <m:t>E</m:t>
            </m:r>
          </m:e>
        </m:acc>
      </m:oMath>
      <w:r w:rsidRPr="0039410B">
        <w:rPr>
          <w:rFonts w:asciiTheme="majorHAnsi" w:hAnsiTheme="majorHAnsi" w:cs="CMBX10"/>
          <w:b/>
          <w:sz w:val="24"/>
          <w:szCs w:val="24"/>
        </w:rPr>
        <w:t xml:space="preserve"> DES MATH</w:t>
      </w:r>
      <m:oMath>
        <m:acc>
          <m:accPr>
            <m:chr m:val="́"/>
            <m:ctrlPr>
              <w:rPr>
                <w:rFonts w:ascii="Cambria Math" w:hAnsiTheme="majorHAnsi" w:cs="CMBX10"/>
                <w:b/>
                <w:sz w:val="24"/>
                <w:szCs w:val="24"/>
              </w:rPr>
            </m:ctrlPr>
          </m:accPr>
          <m:e>
            <m:r>
              <m:rPr>
                <m:sty m:val="b"/>
              </m:rPr>
              <w:rPr>
                <w:rFonts w:ascii="Cambria Math" w:hAnsiTheme="majorHAnsi" w:cs="CMBX10"/>
                <w:sz w:val="24"/>
                <w:szCs w:val="24"/>
              </w:rPr>
              <m:t>E</m:t>
            </m:r>
          </m:e>
        </m:acc>
      </m:oMath>
      <w:r w:rsidRPr="0039410B">
        <w:rPr>
          <w:rFonts w:asciiTheme="majorHAnsi" w:hAnsiTheme="majorHAnsi" w:cs="CMBX10"/>
          <w:b/>
          <w:sz w:val="24"/>
          <w:szCs w:val="24"/>
        </w:rPr>
        <w:t>MATIQUES</w:t>
      </w:r>
    </w:p>
    <w:p w:rsidR="0039410B" w:rsidRPr="0039410B" w:rsidRDefault="0039410B" w:rsidP="0039410B">
      <w:pPr>
        <w:jc w:val="center"/>
        <w:rPr>
          <w:rFonts w:asciiTheme="majorHAnsi" w:hAnsiTheme="majorHAnsi" w:cs="CMBX10"/>
          <w:b/>
          <w:sz w:val="24"/>
          <w:szCs w:val="24"/>
        </w:rPr>
      </w:pPr>
      <w:r w:rsidRPr="0039410B">
        <w:rPr>
          <w:rFonts w:asciiTheme="majorHAnsi" w:hAnsiTheme="majorHAnsi" w:cs="CMBX10"/>
          <w:b/>
          <w:sz w:val="24"/>
          <w:szCs w:val="24"/>
        </w:rPr>
        <w:t>Spécialité</w:t>
      </w:r>
      <w:r w:rsidR="008B1559">
        <w:rPr>
          <w:rFonts w:asciiTheme="majorHAnsi" w:hAnsiTheme="majorHAnsi" w:cs="CMBX10"/>
          <w:b/>
          <w:sz w:val="24"/>
          <w:szCs w:val="24"/>
        </w:rPr>
        <w:t xml:space="preserve"> : Analyse. </w:t>
      </w:r>
      <w:r w:rsidRPr="0039410B">
        <w:rPr>
          <w:rFonts w:asciiTheme="majorHAnsi" w:hAnsiTheme="majorHAnsi" w:cs="CMBX10"/>
          <w:b/>
          <w:sz w:val="24"/>
          <w:szCs w:val="24"/>
        </w:rPr>
        <w:t>Modélisation Mathématique et Numérique</w:t>
      </w:r>
    </w:p>
    <w:p w:rsidR="0039410B" w:rsidRPr="0039410B" w:rsidRDefault="00CD6D66" w:rsidP="0039410B">
      <w:pPr>
        <w:jc w:val="center"/>
        <w:rPr>
          <w:rFonts w:asciiTheme="majorHAnsi" w:hAnsiTheme="majorHAnsi" w:cs="CMR10"/>
          <w:b/>
          <w:sz w:val="24"/>
          <w:szCs w:val="24"/>
        </w:rPr>
      </w:pPr>
      <w:r w:rsidRPr="00CD6D66"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8.55pt;margin-top:18pt;width:453.75pt;height:54.8pt;z-index:251658240" strokeweight="3pt">
            <v:stroke linestyle="thinThin"/>
            <v:textbox>
              <w:txbxContent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F25" w:hAnsi="F25" w:cs="F25"/>
                      <w:b/>
                      <w:i/>
                      <w:sz w:val="28"/>
                      <w:szCs w:val="28"/>
                    </w:rPr>
                  </w:pPr>
                  <w:r w:rsidRPr="00214A0B">
                    <w:rPr>
                      <w:rFonts w:ascii="F25" w:hAnsi="F25" w:cs="F25"/>
                      <w:b/>
                      <w:i/>
                      <w:sz w:val="28"/>
                      <w:szCs w:val="28"/>
                    </w:rPr>
                    <w:t>Approximation Numérique d'un problème à Frontière libre dans le cas supercritique. Problème linéaire</w:t>
                  </w:r>
                </w:p>
                <w:p w:rsidR="0039410B" w:rsidRPr="00214A0B" w:rsidRDefault="0039410B" w:rsidP="00513941">
                  <w:pPr>
                    <w:jc w:val="center"/>
                    <w:rPr>
                      <w:rFonts w:asciiTheme="majorHAnsi" w:hAnsiTheme="majorHAnsi"/>
                      <w:b/>
                      <w:i/>
                      <w:sz w:val="32"/>
                      <w:szCs w:val="32"/>
                    </w:rPr>
                  </w:pPr>
                </w:p>
                <w:p w:rsidR="009B5830" w:rsidRDefault="009B5830"/>
              </w:txbxContent>
            </v:textbox>
          </v:shape>
        </w:pict>
      </w:r>
      <w:r w:rsidR="0039410B" w:rsidRPr="0039410B">
        <w:rPr>
          <w:rFonts w:asciiTheme="majorHAnsi" w:hAnsiTheme="majorHAnsi" w:cs="CMR10"/>
          <w:b/>
          <w:sz w:val="24"/>
          <w:szCs w:val="24"/>
        </w:rPr>
        <w:t>Thème</w:t>
      </w:r>
    </w:p>
    <w:p w:rsidR="0039410B" w:rsidRDefault="0039410B"/>
    <w:p w:rsidR="0039410B" w:rsidRDefault="0039410B"/>
    <w:p w:rsidR="0039410B" w:rsidRDefault="0039410B" w:rsidP="008B155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MR10"/>
          <w:color w:val="000000"/>
          <w:sz w:val="24"/>
          <w:szCs w:val="24"/>
        </w:rPr>
      </w:pPr>
      <w:r w:rsidRPr="0014021E">
        <w:rPr>
          <w:rFonts w:asciiTheme="majorHAnsi" w:hAnsiTheme="majorHAnsi" w:cs="CMR10"/>
          <w:color w:val="000000"/>
          <w:sz w:val="24"/>
          <w:szCs w:val="24"/>
        </w:rPr>
        <w:t>Pr</w:t>
      </w:r>
      <w:r w:rsidR="0014021E" w:rsidRPr="0014021E">
        <w:rPr>
          <w:rFonts w:asciiTheme="majorHAnsi" w:hAnsiTheme="majorHAnsi" w:cs="CMR10"/>
          <w:color w:val="000000"/>
          <w:sz w:val="24"/>
          <w:szCs w:val="24"/>
        </w:rPr>
        <w:t>ésenté</w:t>
      </w:r>
      <w:r w:rsidRPr="0014021E">
        <w:rPr>
          <w:rFonts w:asciiTheme="majorHAnsi" w:hAnsiTheme="majorHAnsi" w:cs="CMR10"/>
          <w:color w:val="000000"/>
          <w:sz w:val="24"/>
          <w:szCs w:val="24"/>
        </w:rPr>
        <w:t xml:space="preserve"> par</w:t>
      </w:r>
      <w:r w:rsidR="0014021E" w:rsidRPr="0014021E">
        <w:rPr>
          <w:rFonts w:asciiTheme="majorHAnsi" w:hAnsiTheme="majorHAnsi" w:cs="CMR7"/>
          <w:color w:val="0000FF"/>
          <w:sz w:val="24"/>
          <w:szCs w:val="24"/>
          <w:vertAlign w:val="superscript"/>
        </w:rPr>
        <w:t>1</w:t>
      </w:r>
      <w:r w:rsidRPr="0014021E">
        <w:rPr>
          <w:rFonts w:asciiTheme="majorHAnsi" w:hAnsiTheme="majorHAnsi" w:cs="CMR10"/>
          <w:color w:val="000000"/>
          <w:sz w:val="24"/>
          <w:szCs w:val="24"/>
        </w:rPr>
        <w:t>:</w:t>
      </w:r>
    </w:p>
    <w:p w:rsidR="00513941" w:rsidRDefault="00513941" w:rsidP="00513941">
      <w:pPr>
        <w:autoSpaceDE w:val="0"/>
        <w:autoSpaceDN w:val="0"/>
        <w:adjustRightInd w:val="0"/>
        <w:spacing w:after="0" w:line="240" w:lineRule="auto"/>
        <w:rPr>
          <w:rFonts w:ascii="F25" w:hAnsi="F25" w:cs="F25"/>
          <w:sz w:val="24"/>
          <w:szCs w:val="24"/>
        </w:rPr>
      </w:pPr>
      <w:r>
        <w:rPr>
          <w:rFonts w:ascii="F25" w:hAnsi="F25" w:cs="F25"/>
          <w:sz w:val="24"/>
          <w:szCs w:val="24"/>
        </w:rPr>
        <w:t xml:space="preserve">                                                      </w:t>
      </w:r>
    </w:p>
    <w:p w:rsidR="00513941" w:rsidRPr="00214A0B" w:rsidRDefault="00513941" w:rsidP="00513941">
      <w:pPr>
        <w:autoSpaceDE w:val="0"/>
        <w:autoSpaceDN w:val="0"/>
        <w:adjustRightInd w:val="0"/>
        <w:spacing w:after="0" w:line="240" w:lineRule="auto"/>
        <w:rPr>
          <w:rFonts w:ascii="F25" w:hAnsi="F25" w:cs="F25"/>
          <w:b/>
          <w:i/>
        </w:rPr>
      </w:pPr>
      <w:r>
        <w:rPr>
          <w:rFonts w:ascii="F25" w:hAnsi="F25" w:cs="F25"/>
          <w:sz w:val="24"/>
          <w:szCs w:val="24"/>
        </w:rPr>
        <w:t xml:space="preserve">                        </w:t>
      </w:r>
      <w:r w:rsidR="00214A0B">
        <w:rPr>
          <w:rFonts w:ascii="F25" w:hAnsi="F25" w:cs="F25"/>
          <w:sz w:val="24"/>
          <w:szCs w:val="24"/>
        </w:rPr>
        <w:t xml:space="preserve">                          </w:t>
      </w:r>
      <w:r w:rsidR="00214A0B" w:rsidRPr="00214A0B">
        <w:rPr>
          <w:rFonts w:ascii="F25" w:hAnsi="F25" w:cs="F25"/>
          <w:b/>
          <w:i/>
        </w:rPr>
        <w:t>BELKHAMSA ACHRAF</w:t>
      </w:r>
    </w:p>
    <w:p w:rsidR="0039410B" w:rsidRPr="00513941" w:rsidRDefault="00CD6D66" w:rsidP="00513941">
      <w:pPr>
        <w:spacing w:line="240" w:lineRule="auto"/>
        <w:rPr>
          <w:rFonts w:asciiTheme="majorHAnsi" w:hAnsiTheme="majorHAnsi" w:cs="CMBX10"/>
          <w:color w:val="000000"/>
          <w:sz w:val="28"/>
          <w:szCs w:val="28"/>
        </w:rPr>
      </w:pPr>
      <w:r w:rsidRPr="00CD6D66">
        <w:rPr>
          <w:noProof/>
          <w:lang w:eastAsia="fr-FR"/>
        </w:rPr>
        <w:pict>
          <v:shape id="_x0000_s1027" type="#_x0000_t202" style="position:absolute;margin-left:-21.65pt;margin-top:21.75pt;width:7in;height:337.5pt;z-index:251659264" strokeweight="1.5pt">
            <v:textbox style="mso-next-textbox:#_x0000_s1027">
              <w:txbxContent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L'étude de la propagation d'ondes de surface dans un écoulement de fluide dans un canal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plat avec un obstacle au fond, a été menée par différents auteurs en utilisant différentes</w:t>
                  </w:r>
                </w:p>
                <w:p w:rsid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méthodes. La littérature dans ce domaine est abondante.</w:t>
                  </w:r>
                </w:p>
                <w:p w:rsid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Dans cette thèse, nous considérons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l'écoulement bidimensionnel, irrotationnel d'un fluide incompressible et non visqueux, se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déplaçant dans une direction (c'est à dire qu'il y a un amont et un aval).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Nous considérons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le problème linéarisé dans le cas super-critique. Dans cette situation, l'expérience nous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permet de supposer que la profondeur à l'infini amont est la même qu'à l'infini aval.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L'objet de notre travail est l'approximation numérique par éléments finis </w:t>
                  </w:r>
                  <w:r w:rsidRPr="00214A0B">
                    <w:rPr>
                      <w:rFonts w:asciiTheme="majorHAnsi" w:hAnsiTheme="majorHAnsi" w:cs="MSBM10"/>
                      <w:sz w:val="24"/>
                      <w:szCs w:val="24"/>
                    </w:rPr>
                    <w:t>P</w:t>
                  </w:r>
                  <w:r w:rsidRPr="00214A0B">
                    <w:rPr>
                      <w:rFonts w:asciiTheme="majorHAnsi" w:hAnsiTheme="majorHAnsi" w:cs="CMR8"/>
                      <w:sz w:val="16"/>
                      <w:szCs w:val="16"/>
                    </w:rPr>
                    <w:t xml:space="preserve">1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et </w:t>
                  </w:r>
                  <w:r w:rsidRPr="00214A0B">
                    <w:rPr>
                      <w:rFonts w:asciiTheme="majorHAnsi" w:hAnsiTheme="majorHAnsi" w:cs="MSBM10"/>
                      <w:sz w:val="24"/>
                      <w:szCs w:val="24"/>
                    </w:rPr>
                    <w:t>Q</w:t>
                  </w:r>
                  <w:r w:rsidRPr="00214A0B">
                    <w:rPr>
                      <w:rFonts w:asciiTheme="majorHAnsi" w:hAnsiTheme="majorHAnsi" w:cs="CMR8"/>
                      <w:sz w:val="16"/>
                      <w:szCs w:val="16"/>
                    </w:rPr>
                    <w:t xml:space="preserve">1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de la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solution du problème linéarisé. Nous mettons en oeuvre des codes de calculs réalisant le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maillage en triangles ( éléments finis </w:t>
                  </w:r>
                  <w:r w:rsidRPr="00214A0B">
                    <w:rPr>
                      <w:rFonts w:asciiTheme="majorHAnsi" w:hAnsiTheme="majorHAnsi" w:cs="MSBM10"/>
                      <w:sz w:val="24"/>
                      <w:szCs w:val="24"/>
                    </w:rPr>
                    <w:t>P</w:t>
                  </w:r>
                  <w:r w:rsidRPr="00214A0B">
                    <w:rPr>
                      <w:rFonts w:asciiTheme="majorHAnsi" w:hAnsiTheme="majorHAnsi" w:cs="CMR8"/>
                      <w:sz w:val="16"/>
                      <w:szCs w:val="16"/>
                    </w:rPr>
                    <w:t>1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) puis en quadrangles (éléments finis </w:t>
                  </w:r>
                  <w:r w:rsidRPr="00214A0B">
                    <w:rPr>
                      <w:rFonts w:asciiTheme="majorHAnsi" w:hAnsiTheme="majorHAnsi" w:cs="MSBM10"/>
                      <w:sz w:val="24"/>
                      <w:szCs w:val="24"/>
                    </w:rPr>
                    <w:t>Q</w:t>
                  </w:r>
                  <w:r w:rsidRPr="00214A0B">
                    <w:rPr>
                      <w:rFonts w:asciiTheme="majorHAnsi" w:hAnsiTheme="majorHAnsi" w:cs="CMR8"/>
                      <w:sz w:val="16"/>
                      <w:szCs w:val="16"/>
                    </w:rPr>
                    <w:t>1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) et dans</w:t>
                  </w:r>
                </w:p>
                <w:p w:rsid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chaque cas des codes qui simulent la frontière libre de l'écoulement.</w:t>
                  </w:r>
                </w:p>
                <w:p w:rsid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Nous donnons des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graphes de la frontière libre obtenue pour différents obstacles et différents nombres de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Froude. La résolution des systèmes linéaires obtenus, est faite à l'aide de l'algorithme de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Cholesky. 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Nous avons mis en oeuvre un algorithme de stockage bande pour économiser de</w:t>
                  </w:r>
                  <w:r w:rsidR="00214A0B">
                    <w:rPr>
                      <w:rFonts w:asciiTheme="majorHAnsi" w:hAnsiTheme="majorHAnsi" w:cs="F17"/>
                      <w:sz w:val="24"/>
                      <w:szCs w:val="24"/>
                    </w:rPr>
                    <w:t xml:space="preserve">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la place mémoire.</w:t>
                  </w:r>
                </w:p>
                <w:p w:rsidR="00513941" w:rsidRPr="00214A0B" w:rsidRDefault="00513941" w:rsidP="0051394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Theme="majorHAnsi" w:hAnsiTheme="majorHAnsi" w:cs="F17"/>
                      <w:sz w:val="24"/>
                      <w:szCs w:val="24"/>
                    </w:rPr>
                  </w:pPr>
                  <w:r w:rsidRPr="00214A0B">
                    <w:rPr>
                      <w:rFonts w:asciiTheme="majorHAnsi" w:hAnsiTheme="majorHAnsi" w:cs="F25"/>
                      <w:b/>
                      <w:i/>
                      <w:sz w:val="24"/>
                      <w:szCs w:val="24"/>
                    </w:rPr>
                    <w:t>Mots-Clés</w:t>
                  </w:r>
                  <w:r w:rsidRPr="00214A0B">
                    <w:rPr>
                      <w:rFonts w:asciiTheme="majorHAnsi" w:hAnsiTheme="majorHAnsi" w:cs="F25"/>
                      <w:sz w:val="24"/>
                      <w:szCs w:val="24"/>
                    </w:rPr>
                    <w:t xml:space="preserve"> : </w:t>
                  </w: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EDP, nombre de Froude, obstacle, surface libre, torrentiel, éléments finis, théorie</w:t>
                  </w:r>
                </w:p>
                <w:p w:rsidR="0039410B" w:rsidRPr="00214A0B" w:rsidRDefault="00513941" w:rsidP="00513941">
                  <w:pPr>
                    <w:rPr>
                      <w:rFonts w:asciiTheme="majorHAnsi" w:hAnsiTheme="majorHAnsi"/>
                      <w:szCs w:val="24"/>
                    </w:rPr>
                  </w:pPr>
                  <w:r w:rsidRPr="00214A0B">
                    <w:rPr>
                      <w:rFonts w:asciiTheme="majorHAnsi" w:hAnsiTheme="majorHAnsi" w:cs="F17"/>
                      <w:sz w:val="24"/>
                      <w:szCs w:val="24"/>
                    </w:rPr>
                    <w:t>linéaire, stockage bande, Cholesky.</w:t>
                  </w:r>
                </w:p>
              </w:txbxContent>
            </v:textbox>
          </v:shape>
        </w:pict>
      </w:r>
      <w:r w:rsidR="00513941">
        <w:rPr>
          <w:rFonts w:asciiTheme="majorHAnsi" w:hAnsiTheme="majorHAnsi" w:cs="CMBX10"/>
          <w:color w:val="000000"/>
          <w:sz w:val="28"/>
          <w:szCs w:val="28"/>
        </w:rPr>
        <w:t xml:space="preserve">                                                                  </w:t>
      </w:r>
      <w:r w:rsidR="0014021E" w:rsidRPr="0014021E">
        <w:rPr>
          <w:rFonts w:asciiTheme="majorHAnsi" w:hAnsiTheme="majorHAnsi" w:cs="CMR10"/>
          <w:sz w:val="24"/>
          <w:szCs w:val="24"/>
        </w:rPr>
        <w:t>Résumé</w:t>
      </w:r>
    </w:p>
    <w:p w:rsidR="0039410B" w:rsidRDefault="0039410B" w:rsidP="0039410B"/>
    <w:sectPr w:rsidR="0039410B" w:rsidSect="008B1559">
      <w:footerReference w:type="default" r:id="rId7"/>
      <w:pgSz w:w="11906" w:h="16838"/>
      <w:pgMar w:top="1417" w:right="1417" w:bottom="568" w:left="1417" w:header="708" w:footer="95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03B4" w:rsidRDefault="005C03B4" w:rsidP="0047178B">
      <w:pPr>
        <w:spacing w:after="0" w:line="240" w:lineRule="auto"/>
      </w:pPr>
      <w:r>
        <w:separator/>
      </w:r>
    </w:p>
  </w:endnote>
  <w:endnote w:type="continuationSeparator" w:id="1">
    <w:p w:rsidR="005C03B4" w:rsidRDefault="005C03B4" w:rsidP="004717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MBX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MBX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25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MR7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17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BM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8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6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78B" w:rsidRPr="0047178B" w:rsidRDefault="00CD6D66" w:rsidP="0047178B">
    <w:pPr>
      <w:pStyle w:val="Pieddepage"/>
    </w:pPr>
    <w:r w:rsidRPr="00CD6D66">
      <w:rPr>
        <w:rFonts w:ascii="CMR6" w:hAnsi="CMR6" w:cs="CMR6"/>
        <w:noProof/>
        <w:sz w:val="20"/>
        <w:szCs w:val="20"/>
        <w:vertAlign w:val="superscript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3.6pt;margin-top:-7.9pt;width:406.2pt;height:0;z-index:251658240" o:connectortype="straight" strokeweight="1.5pt"/>
      </w:pict>
    </w:r>
    <w:r w:rsidR="0047178B" w:rsidRPr="008B1559">
      <w:rPr>
        <w:rFonts w:ascii="CMR6" w:hAnsi="CMR6" w:cs="CMR6"/>
        <w:sz w:val="20"/>
        <w:szCs w:val="20"/>
        <w:vertAlign w:val="superscript"/>
      </w:rPr>
      <w:t xml:space="preserve">1 </w:t>
    </w:r>
    <w:r w:rsidR="0047178B" w:rsidRPr="008B1559">
      <w:rPr>
        <w:rFonts w:asciiTheme="majorHAnsi" w:hAnsiTheme="majorHAnsi" w:cs="CMR8"/>
        <w:sz w:val="24"/>
        <w:szCs w:val="24"/>
      </w:rPr>
      <w:t>Sous la directi</w:t>
    </w:r>
    <w:r w:rsidR="008B1559">
      <w:rPr>
        <w:rFonts w:asciiTheme="majorHAnsi" w:hAnsiTheme="majorHAnsi" w:cs="CMR8"/>
        <w:sz w:val="24"/>
        <w:szCs w:val="24"/>
      </w:rPr>
      <w:t>on de :</w:t>
    </w:r>
    <w:r w:rsidR="00513941" w:rsidRPr="00513941">
      <w:rPr>
        <w:rFonts w:ascii="F25" w:hAnsi="F25" w:cs="F25"/>
        <w:sz w:val="24"/>
        <w:szCs w:val="24"/>
      </w:rPr>
      <w:t xml:space="preserve"> </w:t>
    </w:r>
    <w:r w:rsidR="00513941">
      <w:rPr>
        <w:rFonts w:ascii="F25" w:hAnsi="F25" w:cs="F25"/>
        <w:sz w:val="24"/>
        <w:szCs w:val="24"/>
      </w:rPr>
      <w:t>Rachida Ait-Yahia Djouadi</w:t>
    </w:r>
    <w:r w:rsidR="008B1559">
      <w:rPr>
        <w:rFonts w:asciiTheme="majorHAnsi" w:hAnsiTheme="majorHAnsi" w:cs="CMR8"/>
        <w:sz w:val="24"/>
        <w:szCs w:val="24"/>
      </w:rPr>
      <w:t>, Maître de Confé</w:t>
    </w:r>
    <w:r w:rsidR="0047178B" w:rsidRPr="008B1559">
      <w:rPr>
        <w:rFonts w:asciiTheme="majorHAnsi" w:hAnsiTheme="majorHAnsi" w:cs="CMR8"/>
        <w:sz w:val="24"/>
        <w:szCs w:val="24"/>
      </w:rPr>
      <w:t>rences, USTHB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03B4" w:rsidRDefault="005C03B4" w:rsidP="0047178B">
      <w:pPr>
        <w:spacing w:after="0" w:line="240" w:lineRule="auto"/>
      </w:pPr>
      <w:r>
        <w:separator/>
      </w:r>
    </w:p>
  </w:footnote>
  <w:footnote w:type="continuationSeparator" w:id="1">
    <w:p w:rsidR="005C03B4" w:rsidRDefault="005C03B4" w:rsidP="004717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2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39410B"/>
    <w:rsid w:val="0014021E"/>
    <w:rsid w:val="00214A0B"/>
    <w:rsid w:val="0039410B"/>
    <w:rsid w:val="003B1761"/>
    <w:rsid w:val="0047178B"/>
    <w:rsid w:val="00481D7B"/>
    <w:rsid w:val="00513941"/>
    <w:rsid w:val="005C03B4"/>
    <w:rsid w:val="0064310C"/>
    <w:rsid w:val="00681334"/>
    <w:rsid w:val="006F2F94"/>
    <w:rsid w:val="008B1559"/>
    <w:rsid w:val="009B5830"/>
    <w:rsid w:val="00C013A6"/>
    <w:rsid w:val="00CD6D66"/>
    <w:rsid w:val="00DC1A7F"/>
    <w:rsid w:val="00EC1D6C"/>
    <w:rsid w:val="00EE42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1D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94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9410B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14021E"/>
    <w:rPr>
      <w:color w:val="808080"/>
    </w:rPr>
  </w:style>
  <w:style w:type="paragraph" w:styleId="En-tte">
    <w:name w:val="header"/>
    <w:basedOn w:val="Normal"/>
    <w:link w:val="En-tteCar"/>
    <w:uiPriority w:val="99"/>
    <w:semiHidden/>
    <w:unhideWhenUsed/>
    <w:rsid w:val="00471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7178B"/>
  </w:style>
  <w:style w:type="paragraph" w:styleId="Pieddepage">
    <w:name w:val="footer"/>
    <w:basedOn w:val="Normal"/>
    <w:link w:val="PieddepageCar"/>
    <w:uiPriority w:val="99"/>
    <w:unhideWhenUsed/>
    <w:rsid w:val="004717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717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Hanane</dc:creator>
  <cp:keywords/>
  <dc:description/>
  <cp:lastModifiedBy>com</cp:lastModifiedBy>
  <cp:revision>2</cp:revision>
  <dcterms:created xsi:type="dcterms:W3CDTF">2012-01-11T17:12:00Z</dcterms:created>
  <dcterms:modified xsi:type="dcterms:W3CDTF">2012-01-11T17:12:00Z</dcterms:modified>
</cp:coreProperties>
</file>