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3557" w:rsidRPr="006F3557" w:rsidRDefault="006F3557" w:rsidP="00FD7880">
      <w:pPr>
        <w:spacing w:after="200" w:line="276" w:lineRule="auto"/>
        <w:jc w:val="center"/>
        <w:rPr>
          <w:rFonts w:asciiTheme="majorBidi" w:hAnsiTheme="majorBidi" w:cstheme="majorBidi"/>
          <w:b/>
          <w:bCs/>
          <w:iCs/>
        </w:rPr>
      </w:pPr>
      <w:r w:rsidRPr="006F3557">
        <w:rPr>
          <w:rFonts w:asciiTheme="majorBidi" w:hAnsiTheme="majorBidi" w:cstheme="majorBidi"/>
          <w:b/>
          <w:bCs/>
          <w:iCs/>
        </w:rPr>
        <w:t>Thèse de doctorat 3ème cycle</w:t>
      </w:r>
    </w:p>
    <w:p w:rsidR="006F3557" w:rsidRDefault="006F3557" w:rsidP="00FD7880">
      <w:pPr>
        <w:spacing w:after="200" w:line="276" w:lineRule="auto"/>
        <w:jc w:val="center"/>
        <w:rPr>
          <w:rFonts w:ascii="Comic Sans MS" w:hAnsi="Comic Sans MS"/>
          <w:b/>
          <w:bCs/>
          <w:iCs/>
        </w:rPr>
      </w:pPr>
      <w:r w:rsidRPr="004B3A45">
        <w:rPr>
          <w:bCs/>
        </w:rPr>
        <w:t xml:space="preserve">Compréhension des mécanismes régissant l’endurcissement des graines de </w:t>
      </w:r>
      <w:r w:rsidRPr="004B3A45">
        <w:rPr>
          <w:bCs/>
          <w:i/>
        </w:rPr>
        <w:t>Vigna unguiculata</w:t>
      </w:r>
      <w:r w:rsidRPr="004B3A45">
        <w:rPr>
          <w:bCs/>
        </w:rPr>
        <w:t>.</w:t>
      </w:r>
    </w:p>
    <w:p w:rsidR="006F3557" w:rsidRPr="006F3557" w:rsidRDefault="006F3557" w:rsidP="006F3557">
      <w:pPr>
        <w:spacing w:after="200" w:line="276" w:lineRule="auto"/>
        <w:jc w:val="center"/>
        <w:rPr>
          <w:rFonts w:asciiTheme="majorBidi" w:hAnsiTheme="majorBidi" w:cstheme="majorBidi"/>
          <w:b/>
          <w:bCs/>
          <w:iCs/>
        </w:rPr>
      </w:pPr>
      <w:r w:rsidRPr="006F3557">
        <w:rPr>
          <w:rFonts w:asciiTheme="majorBidi" w:hAnsiTheme="majorBidi" w:cstheme="majorBidi"/>
          <w:b/>
          <w:bCs/>
          <w:iCs/>
        </w:rPr>
        <w:t xml:space="preserve">Soutenue par BOUCELHA </w:t>
      </w:r>
      <w:proofErr w:type="spellStart"/>
      <w:r w:rsidRPr="006F3557">
        <w:rPr>
          <w:rFonts w:asciiTheme="majorBidi" w:hAnsiTheme="majorBidi" w:cstheme="majorBidi"/>
          <w:b/>
          <w:bCs/>
          <w:iCs/>
        </w:rPr>
        <w:t>Lilya</w:t>
      </w:r>
      <w:proofErr w:type="spellEnd"/>
      <w:r>
        <w:rPr>
          <w:rFonts w:asciiTheme="majorBidi" w:hAnsiTheme="majorBidi" w:cstheme="majorBidi"/>
          <w:b/>
          <w:bCs/>
          <w:iCs/>
        </w:rPr>
        <w:t xml:space="preserve"> le 11 juin 2015</w:t>
      </w:r>
    </w:p>
    <w:p w:rsidR="00DD0674" w:rsidRDefault="00DD0674" w:rsidP="00FD7880">
      <w:pPr>
        <w:spacing w:after="200" w:line="276" w:lineRule="auto"/>
        <w:jc w:val="center"/>
        <w:rPr>
          <w:rFonts w:ascii="Comic Sans MS" w:hAnsi="Comic Sans MS"/>
          <w:b/>
          <w:bCs/>
          <w:iCs/>
        </w:rPr>
      </w:pPr>
      <w:r w:rsidRPr="00233E04">
        <w:rPr>
          <w:rFonts w:ascii="Comic Sans MS" w:hAnsi="Comic Sans MS"/>
          <w:b/>
          <w:bCs/>
          <w:iCs/>
        </w:rPr>
        <w:t>Résumé</w:t>
      </w:r>
    </w:p>
    <w:p w:rsidR="00DD0674" w:rsidRDefault="00DD0674" w:rsidP="00DD0674">
      <w:pPr>
        <w:jc w:val="both"/>
      </w:pPr>
      <w:r>
        <w:rPr>
          <w:rFonts w:eastAsia="Calibri"/>
        </w:rPr>
        <w:t xml:space="preserve">Depuis toujours, plusieurs approches ont été tentées </w:t>
      </w:r>
      <w:r w:rsidRPr="0021177A">
        <w:rPr>
          <w:rFonts w:eastAsia="Calibri"/>
        </w:rPr>
        <w:t xml:space="preserve"> pour améliorer </w:t>
      </w:r>
      <w:r w:rsidRPr="0021177A">
        <w:t xml:space="preserve">la germination, </w:t>
      </w:r>
      <w:r>
        <w:rPr>
          <w:rFonts w:eastAsia="Calibri"/>
        </w:rPr>
        <w:t>la croissance et</w:t>
      </w:r>
      <w:r w:rsidRPr="0021177A">
        <w:rPr>
          <w:rFonts w:eastAsia="Calibri"/>
        </w:rPr>
        <w:t xml:space="preserve"> le développement de</w:t>
      </w:r>
      <w:r>
        <w:rPr>
          <w:rFonts w:eastAsia="Calibri"/>
        </w:rPr>
        <w:t>s espèces végétales</w:t>
      </w:r>
      <w:r w:rsidRPr="0021177A">
        <w:rPr>
          <w:rFonts w:eastAsia="Calibri"/>
        </w:rPr>
        <w:t>.</w:t>
      </w:r>
      <w:r>
        <w:rPr>
          <w:rFonts w:eastAsia="Calibri"/>
        </w:rPr>
        <w:t xml:space="preserve"> L’amorçage ou endurcissement (priming)</w:t>
      </w:r>
      <w:r w:rsidRPr="0021177A">
        <w:rPr>
          <w:rFonts w:eastAsia="Calibri"/>
        </w:rPr>
        <w:t xml:space="preserve"> est une des </w:t>
      </w:r>
      <w:r>
        <w:rPr>
          <w:rFonts w:eastAsia="Calibri"/>
        </w:rPr>
        <w:t>techniques</w:t>
      </w:r>
      <w:r w:rsidRPr="0021177A">
        <w:rPr>
          <w:rFonts w:eastAsia="Calibri"/>
        </w:rPr>
        <w:t xml:space="preserve"> de pré-semis la plus connue qui permet d’influencer le développement des semis, </w:t>
      </w:r>
      <w:r w:rsidRPr="0021177A">
        <w:t>en modulant les activités métaboliques de la germination avant la percée de la radicule</w:t>
      </w:r>
      <w:r w:rsidRPr="008366CB">
        <w:t>, c'est à dire au cours de la phase réversible de la germination, la graine pouvant revenir à son état initial sans dommages.</w:t>
      </w:r>
      <w:r w:rsidRPr="0021177A">
        <w:t xml:space="preserve"> L’endurcissement consiste à faire subir aux semences un traitement osmotique (osmopriming) ou hormonal (</w:t>
      </w:r>
      <w:proofErr w:type="spellStart"/>
      <w:r w:rsidRPr="0021177A">
        <w:t>hormopriming</w:t>
      </w:r>
      <w:proofErr w:type="spellEnd"/>
      <w:r w:rsidRPr="0021177A">
        <w:t xml:space="preserve">) et/ou une </w:t>
      </w:r>
      <w:proofErr w:type="spellStart"/>
      <w:r w:rsidRPr="0021177A">
        <w:t>redéshydratation</w:t>
      </w:r>
      <w:proofErr w:type="spellEnd"/>
      <w:r w:rsidRPr="0021177A">
        <w:t xml:space="preserve"> (hydropriming) qui permettent la levée de la dormance, l’homogénéisation (la synchronisation) de la germination, une meilleure croissance, une floraison plus précoce et une tolérance plus vigoureuse aux stress abiotiques tels que la sécheresse et la salinité. </w:t>
      </w:r>
    </w:p>
    <w:p w:rsidR="00FD7880" w:rsidRDefault="00FD7880" w:rsidP="00DD0674">
      <w:pPr>
        <w:jc w:val="both"/>
        <w:rPr>
          <w:b/>
        </w:rPr>
      </w:pPr>
    </w:p>
    <w:p w:rsidR="00FD7880" w:rsidRDefault="00DD0674" w:rsidP="00FD7880">
      <w:pPr>
        <w:ind w:firstLine="708"/>
        <w:jc w:val="both"/>
        <w:rPr>
          <w:bCs/>
          <w:kern w:val="1"/>
        </w:rPr>
      </w:pPr>
      <w:r w:rsidRPr="0021177A">
        <w:t xml:space="preserve">Notre travail s’inscrit dans cette optique et a pour objectif d’étudier les conséquences de l’hydropriming </w:t>
      </w:r>
      <w:r>
        <w:t xml:space="preserve">(simple et double) </w:t>
      </w:r>
      <w:r w:rsidRPr="0021177A">
        <w:t>et de l’osmopriming (par du PEG</w:t>
      </w:r>
      <w:r w:rsidRPr="0021177A">
        <w:rPr>
          <w:vertAlign w:val="subscript"/>
        </w:rPr>
        <w:t>6000</w:t>
      </w:r>
      <w:r w:rsidRPr="0021177A">
        <w:t xml:space="preserve"> à 10 et 30 %) sur des graines d</w:t>
      </w:r>
      <w:r>
        <w:t xml:space="preserve">u </w:t>
      </w:r>
      <w:r w:rsidRPr="0021177A">
        <w:t>haricot à œil noir (</w:t>
      </w:r>
      <w:r w:rsidRPr="0021177A">
        <w:rPr>
          <w:bCs/>
          <w:i/>
        </w:rPr>
        <w:t>Vigna unguiculata</w:t>
      </w:r>
      <w:r w:rsidRPr="0021177A">
        <w:rPr>
          <w:bCs/>
          <w:iCs/>
        </w:rPr>
        <w:t>)</w:t>
      </w:r>
      <w:r>
        <w:rPr>
          <w:bCs/>
          <w:iCs/>
        </w:rPr>
        <w:t>, ainsi que la compréhension des mécanismes régissant l’endurcissement au niveau embryonnaire (Cotylédons, radicule et gemmule)</w:t>
      </w:r>
      <w:r>
        <w:rPr>
          <w:b/>
        </w:rPr>
        <w:t xml:space="preserve">. </w:t>
      </w:r>
      <w:r w:rsidRPr="0021177A">
        <w:t>Les résultats obtenus montrent que l'endurcissement permet d’avoir une germinati</w:t>
      </w:r>
      <w:r>
        <w:t xml:space="preserve">on plus rapide et plus homogène </w:t>
      </w:r>
      <w:r w:rsidRPr="0021177A">
        <w:t>et une meilleure croissance des radicules et des parties aériennes</w:t>
      </w:r>
      <w:r>
        <w:t xml:space="preserve"> </w:t>
      </w:r>
      <w:r w:rsidRPr="008366CB">
        <w:t>en conditions favorables et non favorables</w:t>
      </w:r>
      <w:r w:rsidR="00D32988">
        <w:t xml:space="preserve"> (stress hydrique)</w:t>
      </w:r>
      <w:r w:rsidRPr="008366CB">
        <w:t>. Nous avons également démontré qu’une double redéshydrata</w:t>
      </w:r>
      <w:r w:rsidR="00D32988">
        <w:t>tion (double hydropriming) est</w:t>
      </w:r>
      <w:r w:rsidRPr="008366CB">
        <w:t xml:space="preserve"> plus efficace dans l’amélioration de ces paramètres</w:t>
      </w:r>
      <w:r w:rsidR="00D32988">
        <w:t xml:space="preserve"> comparativement aux autres traitements</w:t>
      </w:r>
      <w:r w:rsidRPr="008366CB">
        <w:t>.</w:t>
      </w:r>
      <w:r>
        <w:t xml:space="preserve"> D’autre part, notre étude montre </w:t>
      </w:r>
      <w:r w:rsidRPr="008366CB">
        <w:t xml:space="preserve"> </w:t>
      </w:r>
      <w:r w:rsidRPr="009E0AFF">
        <w:rPr>
          <w:bCs/>
          <w:kern w:val="1"/>
        </w:rPr>
        <w:t xml:space="preserve">que les traitements de prégermination des semences, et </w:t>
      </w:r>
      <w:r>
        <w:rPr>
          <w:bCs/>
          <w:kern w:val="1"/>
        </w:rPr>
        <w:t>plus particulièremen</w:t>
      </w:r>
      <w:r w:rsidR="00D32988">
        <w:rPr>
          <w:bCs/>
          <w:kern w:val="1"/>
        </w:rPr>
        <w:t xml:space="preserve">t </w:t>
      </w:r>
      <w:proofErr w:type="gramStart"/>
      <w:r w:rsidR="00D32988">
        <w:rPr>
          <w:bCs/>
          <w:kern w:val="1"/>
        </w:rPr>
        <w:t>la</w:t>
      </w:r>
      <w:proofErr w:type="gramEnd"/>
      <w:r w:rsidR="00D32988">
        <w:rPr>
          <w:bCs/>
          <w:kern w:val="1"/>
        </w:rPr>
        <w:t xml:space="preserve"> </w:t>
      </w:r>
      <w:r>
        <w:rPr>
          <w:bCs/>
          <w:kern w:val="1"/>
        </w:rPr>
        <w:t xml:space="preserve">double </w:t>
      </w:r>
      <w:proofErr w:type="spellStart"/>
      <w:r w:rsidRPr="009E0AFF">
        <w:rPr>
          <w:bCs/>
          <w:kern w:val="1"/>
        </w:rPr>
        <w:t>redéshydratation</w:t>
      </w:r>
      <w:proofErr w:type="spellEnd"/>
      <w:r w:rsidR="009361A4">
        <w:rPr>
          <w:bCs/>
          <w:kern w:val="1"/>
        </w:rPr>
        <w:t>,</w:t>
      </w:r>
      <w:r w:rsidRPr="009E0AFF">
        <w:rPr>
          <w:bCs/>
          <w:kern w:val="1"/>
        </w:rPr>
        <w:t xml:space="preserve"> provoquent des modifications </w:t>
      </w:r>
      <w:r w:rsidR="009361A4">
        <w:rPr>
          <w:bCs/>
          <w:kern w:val="1"/>
        </w:rPr>
        <w:t xml:space="preserve">métaboliques et </w:t>
      </w:r>
      <w:r w:rsidRPr="009E0AFF">
        <w:rPr>
          <w:bCs/>
          <w:kern w:val="1"/>
        </w:rPr>
        <w:t xml:space="preserve">biochimiques </w:t>
      </w:r>
      <w:r>
        <w:rPr>
          <w:bCs/>
          <w:kern w:val="1"/>
        </w:rPr>
        <w:t xml:space="preserve">telles que </w:t>
      </w:r>
      <w:r w:rsidR="009361A4" w:rsidRPr="00D32988">
        <w:rPr>
          <w:bCs/>
          <w:kern w:val="1"/>
        </w:rPr>
        <w:t>l’hydrolyse</w:t>
      </w:r>
      <w:r w:rsidR="009361A4">
        <w:rPr>
          <w:bCs/>
          <w:kern w:val="1"/>
        </w:rPr>
        <w:t xml:space="preserve"> </w:t>
      </w:r>
      <w:r>
        <w:rPr>
          <w:bCs/>
          <w:kern w:val="1"/>
        </w:rPr>
        <w:t>des ré</w:t>
      </w:r>
      <w:r w:rsidR="009361A4">
        <w:rPr>
          <w:bCs/>
          <w:kern w:val="1"/>
        </w:rPr>
        <w:t>serves, la forte production d’</w:t>
      </w:r>
      <w:r>
        <w:rPr>
          <w:bCs/>
          <w:kern w:val="1"/>
        </w:rPr>
        <w:t xml:space="preserve">acides aminés et des sucres </w:t>
      </w:r>
      <w:r w:rsidR="009361A4">
        <w:rPr>
          <w:bCs/>
          <w:kern w:val="1"/>
        </w:rPr>
        <w:t>solubles ainsi que la modification de leur composition</w:t>
      </w:r>
      <w:r w:rsidR="00D32988">
        <w:rPr>
          <w:bCs/>
          <w:kern w:val="1"/>
        </w:rPr>
        <w:t>.</w:t>
      </w:r>
      <w:r>
        <w:rPr>
          <w:bCs/>
          <w:kern w:val="1"/>
        </w:rPr>
        <w:t xml:space="preserve"> </w:t>
      </w:r>
      <w:r w:rsidR="009361A4">
        <w:rPr>
          <w:bCs/>
          <w:kern w:val="1"/>
        </w:rPr>
        <w:t xml:space="preserve">Notre étude a surtout montré que ces traitements </w:t>
      </w:r>
      <w:proofErr w:type="spellStart"/>
      <w:r w:rsidR="009361A4">
        <w:rPr>
          <w:bCs/>
          <w:kern w:val="1"/>
        </w:rPr>
        <w:t>prégerminatifs</w:t>
      </w:r>
      <w:proofErr w:type="spellEnd"/>
      <w:r w:rsidR="00D32988">
        <w:rPr>
          <w:bCs/>
          <w:kern w:val="1"/>
        </w:rPr>
        <w:t>, et notamment le double hydropriming,</w:t>
      </w:r>
      <w:r w:rsidR="009361A4">
        <w:rPr>
          <w:bCs/>
          <w:kern w:val="1"/>
        </w:rPr>
        <w:t xml:space="preserve"> </w:t>
      </w:r>
      <w:r w:rsidR="00D32988">
        <w:rPr>
          <w:bCs/>
          <w:kern w:val="1"/>
        </w:rPr>
        <w:t>induit une plus forte production d’espèces réactives d’oxygène, ERO (H</w:t>
      </w:r>
      <w:r w:rsidR="00D32988" w:rsidRPr="00D32988">
        <w:rPr>
          <w:bCs/>
          <w:kern w:val="1"/>
          <w:vertAlign w:val="subscript"/>
        </w:rPr>
        <w:t>2</w:t>
      </w:r>
      <w:r w:rsidR="00D32988">
        <w:rPr>
          <w:bCs/>
          <w:kern w:val="1"/>
        </w:rPr>
        <w:t>O</w:t>
      </w:r>
      <w:r w:rsidR="00D32988" w:rsidRPr="00D32988">
        <w:rPr>
          <w:bCs/>
          <w:kern w:val="1"/>
          <w:vertAlign w:val="subscript"/>
        </w:rPr>
        <w:t>2</w:t>
      </w:r>
      <w:r w:rsidR="00D32988">
        <w:rPr>
          <w:bCs/>
          <w:kern w:val="1"/>
        </w:rPr>
        <w:t xml:space="preserve"> et superoxyde) ainsi qu’une forte </w:t>
      </w:r>
      <w:r>
        <w:rPr>
          <w:bCs/>
          <w:kern w:val="1"/>
        </w:rPr>
        <w:t>activation des systèmes anti-oxydatifs</w:t>
      </w:r>
      <w:r w:rsidR="00D32988">
        <w:rPr>
          <w:bCs/>
          <w:kern w:val="1"/>
        </w:rPr>
        <w:t xml:space="preserve"> (ascorbate peroxydase</w:t>
      </w:r>
      <w:r>
        <w:rPr>
          <w:bCs/>
          <w:kern w:val="1"/>
        </w:rPr>
        <w:t>,</w:t>
      </w:r>
      <w:r w:rsidR="00D32988">
        <w:rPr>
          <w:bCs/>
          <w:kern w:val="1"/>
        </w:rPr>
        <w:t xml:space="preserve"> catalase et gaïacol oxydase), particulièrement au niveau de la gemmule. Ces résultats qui confirment le rôle des ERO dans le processus de germination, expliquent partiellement les mécanismes impliqués dans les phénomènes d’osmopriming et d’hydropriming. Afin de valider nos résultats, nous avons appliqué un stress hydrique, par arrêt d’arrosage, à des plantes issues de graines traitées. Les résultats obtenus ont montré que </w:t>
      </w:r>
      <w:r w:rsidR="00FD7880">
        <w:rPr>
          <w:bCs/>
          <w:kern w:val="1"/>
        </w:rPr>
        <w:t>les t</w:t>
      </w:r>
      <w:r w:rsidR="00A23EAC">
        <w:rPr>
          <w:bCs/>
          <w:kern w:val="1"/>
        </w:rPr>
        <w:t xml:space="preserve">raitements </w:t>
      </w:r>
      <w:proofErr w:type="spellStart"/>
      <w:r w:rsidR="00A23EAC">
        <w:rPr>
          <w:bCs/>
          <w:kern w:val="1"/>
        </w:rPr>
        <w:t>prégerminatifs</w:t>
      </w:r>
      <w:proofErr w:type="spellEnd"/>
      <w:r w:rsidR="00A23EAC">
        <w:rPr>
          <w:bCs/>
          <w:kern w:val="1"/>
        </w:rPr>
        <w:t>, et su</w:t>
      </w:r>
      <w:r w:rsidR="00FD7880">
        <w:rPr>
          <w:bCs/>
          <w:kern w:val="1"/>
        </w:rPr>
        <w:t xml:space="preserve">rtout le double hydropriming, permet d’obtenir des plantes plus tolérantes au déficit hydrique. </w:t>
      </w:r>
    </w:p>
    <w:p w:rsidR="00FD7880" w:rsidRDefault="00FD7880" w:rsidP="00FD7880">
      <w:pPr>
        <w:ind w:firstLine="708"/>
        <w:jc w:val="both"/>
        <w:rPr>
          <w:bCs/>
          <w:kern w:val="1"/>
        </w:rPr>
      </w:pPr>
    </w:p>
    <w:p w:rsidR="00DD0674" w:rsidRPr="00D32988" w:rsidRDefault="00DD0674" w:rsidP="00FD7880">
      <w:pPr>
        <w:ind w:firstLine="708"/>
        <w:jc w:val="both"/>
        <w:rPr>
          <w:color w:val="FF0000"/>
        </w:rPr>
      </w:pPr>
      <w:r w:rsidRPr="003747AD">
        <w:t>Notre</w:t>
      </w:r>
      <w:r>
        <w:t xml:space="preserve"> travail permet de conclure que </w:t>
      </w:r>
      <w:r w:rsidRPr="00D32988">
        <w:t xml:space="preserve">la </w:t>
      </w:r>
      <w:r w:rsidRPr="00D32988">
        <w:rPr>
          <w:kern w:val="1"/>
        </w:rPr>
        <w:t>double redéshydratation</w:t>
      </w:r>
      <w:r w:rsidRPr="009E0AFF">
        <w:rPr>
          <w:kern w:val="1"/>
        </w:rPr>
        <w:t xml:space="preserve"> pourrait représenter une méthode très efficace pour l'amélioration de la production végétale et en particulier dans des conditions hydriques défavorables</w:t>
      </w:r>
      <w:r w:rsidRPr="009E0AFF">
        <w:rPr>
          <w:i/>
          <w:kern w:val="1"/>
        </w:rPr>
        <w:t>.</w:t>
      </w:r>
      <w:r>
        <w:rPr>
          <w:i/>
          <w:kern w:val="1"/>
        </w:rPr>
        <w:t xml:space="preserve"> </w:t>
      </w:r>
    </w:p>
    <w:p w:rsidR="00DB2AB0" w:rsidRDefault="00DB2AB0"/>
    <w:p w:rsidR="002C3AD1" w:rsidRDefault="002C3AD1" w:rsidP="002C3AD1">
      <w:pPr>
        <w:jc w:val="both"/>
      </w:pPr>
      <w:r w:rsidRPr="002C3AD1">
        <w:rPr>
          <w:b/>
          <w:i/>
        </w:rPr>
        <w:t>Mots clefs</w:t>
      </w:r>
      <w:r>
        <w:t xml:space="preserve"> : </w:t>
      </w:r>
      <w:r w:rsidRPr="002C3AD1">
        <w:t>Vigna unguiculata</w:t>
      </w:r>
      <w:r>
        <w:t xml:space="preserve">, graine, embryon, traitements </w:t>
      </w:r>
      <w:proofErr w:type="spellStart"/>
      <w:r>
        <w:t>prégerminatifs</w:t>
      </w:r>
      <w:proofErr w:type="spellEnd"/>
      <w:r>
        <w:t>,</w:t>
      </w:r>
      <w:r>
        <w:t xml:space="preserve"> </w:t>
      </w:r>
      <w:r>
        <w:t>hydropriming, osmopriming, endurcissement, stress hydrique, stress oxydatif, espèces</w:t>
      </w:r>
      <w:r>
        <w:t xml:space="preserve"> </w:t>
      </w:r>
      <w:r>
        <w:t>réactives d’oxygène.</w:t>
      </w:r>
    </w:p>
    <w:sectPr w:rsidR="002C3AD1" w:rsidSect="00DB2AB0">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F3557" w:rsidRDefault="006F3557" w:rsidP="006F3557">
      <w:r>
        <w:separator/>
      </w:r>
    </w:p>
  </w:endnote>
  <w:endnote w:type="continuationSeparator" w:id="0">
    <w:p w:rsidR="006F3557" w:rsidRDefault="006F3557" w:rsidP="006F355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F3557" w:rsidRDefault="006F3557" w:rsidP="006F3557">
      <w:r>
        <w:separator/>
      </w:r>
    </w:p>
  </w:footnote>
  <w:footnote w:type="continuationSeparator" w:id="0">
    <w:p w:rsidR="006F3557" w:rsidRDefault="006F3557" w:rsidP="006F355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3557" w:rsidRDefault="006F3557" w:rsidP="006F3557">
    <w:pPr>
      <w:pStyle w:val="En-tte"/>
      <w:jc w:val="center"/>
    </w:pPr>
    <w:r>
      <w:t>USTHB – Facultés des Sciences Biologiques</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footnotePr>
    <w:footnote w:id="-1"/>
    <w:footnote w:id="0"/>
  </w:footnotePr>
  <w:endnotePr>
    <w:endnote w:id="-1"/>
    <w:endnote w:id="0"/>
  </w:endnotePr>
  <w:compat/>
  <w:rsids>
    <w:rsidRoot w:val="00DD0674"/>
    <w:rsid w:val="002C3AD1"/>
    <w:rsid w:val="00627E70"/>
    <w:rsid w:val="006D66EB"/>
    <w:rsid w:val="006F3557"/>
    <w:rsid w:val="007D6792"/>
    <w:rsid w:val="009361A4"/>
    <w:rsid w:val="00A23EAC"/>
    <w:rsid w:val="00D32988"/>
    <w:rsid w:val="00DB2AB0"/>
    <w:rsid w:val="00DD0674"/>
    <w:rsid w:val="00FD788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0674"/>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F3557"/>
    <w:pPr>
      <w:tabs>
        <w:tab w:val="center" w:pos="4536"/>
        <w:tab w:val="right" w:pos="9072"/>
      </w:tabs>
    </w:pPr>
  </w:style>
  <w:style w:type="character" w:customStyle="1" w:styleId="En-tteCar">
    <w:name w:val="En-tête Car"/>
    <w:basedOn w:val="Policepardfaut"/>
    <w:link w:val="En-tte"/>
    <w:uiPriority w:val="99"/>
    <w:semiHidden/>
    <w:rsid w:val="006F3557"/>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semiHidden/>
    <w:unhideWhenUsed/>
    <w:rsid w:val="006F3557"/>
    <w:pPr>
      <w:tabs>
        <w:tab w:val="center" w:pos="4536"/>
        <w:tab w:val="right" w:pos="9072"/>
      </w:tabs>
    </w:pPr>
  </w:style>
  <w:style w:type="character" w:customStyle="1" w:styleId="PieddepageCar">
    <w:name w:val="Pied de page Car"/>
    <w:basedOn w:val="Policepardfaut"/>
    <w:link w:val="Pieddepage"/>
    <w:uiPriority w:val="99"/>
    <w:semiHidden/>
    <w:rsid w:val="006F3557"/>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528</Words>
  <Characters>2905</Characters>
  <Application>Microsoft Office Word</Application>
  <DocSecurity>0</DocSecurity>
  <Lines>24</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lily</dc:creator>
  <cp:lastModifiedBy>hp</cp:lastModifiedBy>
  <cp:revision>3</cp:revision>
  <dcterms:created xsi:type="dcterms:W3CDTF">2015-07-08T03:28:00Z</dcterms:created>
  <dcterms:modified xsi:type="dcterms:W3CDTF">2015-07-15T00:05:00Z</dcterms:modified>
</cp:coreProperties>
</file>