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61AB" w:rsidRPr="00493D41" w:rsidRDefault="001F61AB" w:rsidP="001F61AB">
      <w:pPr>
        <w:pBdr>
          <w:top w:val="single" w:sz="18" w:space="1" w:color="auto"/>
          <w:left w:val="single" w:sz="18" w:space="4" w:color="auto"/>
          <w:bottom w:val="single" w:sz="18" w:space="1" w:color="auto"/>
          <w:right w:val="single" w:sz="18" w:space="4" w:color="auto"/>
        </w:pBdr>
        <w:tabs>
          <w:tab w:val="left" w:pos="1620"/>
        </w:tabs>
        <w:jc w:val="center"/>
        <w:rPr>
          <w:rFonts w:ascii="Times New Roman" w:hAnsi="Times New Roman" w:cs="Times New Roman"/>
          <w:sz w:val="32"/>
          <w:szCs w:val="32"/>
        </w:rPr>
      </w:pPr>
      <w:r>
        <w:rPr>
          <w:rFonts w:ascii="Times New Roman" w:hAnsi="Times New Roman" w:cs="Times New Roman"/>
          <w:b/>
          <w:bCs/>
          <w:sz w:val="32"/>
          <w:szCs w:val="32"/>
        </w:rPr>
        <w:t>Influence d’</w:t>
      </w:r>
      <w:r w:rsidRPr="00493D41">
        <w:rPr>
          <w:rFonts w:ascii="Times New Roman" w:hAnsi="Times New Roman" w:cs="Times New Roman"/>
          <w:b/>
          <w:bCs/>
          <w:sz w:val="32"/>
          <w:szCs w:val="32"/>
        </w:rPr>
        <w:t>addition des éléments à l’état de traces sur la cinétique de précipitation dans l’alliage Al-Ag</w:t>
      </w:r>
    </w:p>
    <w:p w:rsidR="001F61AB" w:rsidRPr="00151895" w:rsidRDefault="001F61AB" w:rsidP="001F61AB">
      <w:pPr>
        <w:tabs>
          <w:tab w:val="left" w:pos="1620"/>
        </w:tabs>
        <w:jc w:val="center"/>
        <w:rPr>
          <w:rFonts w:ascii="Times New Roman" w:hAnsi="Times New Roman" w:cs="Times New Roman"/>
          <w:sz w:val="24"/>
          <w:szCs w:val="24"/>
        </w:rPr>
      </w:pPr>
      <w:r w:rsidRPr="00151895">
        <w:rPr>
          <w:rFonts w:ascii="Times New Roman" w:hAnsi="Times New Roman" w:cs="Times New Roman"/>
          <w:sz w:val="24"/>
          <w:szCs w:val="24"/>
        </w:rPr>
        <w:t>Présenté par</w:t>
      </w:r>
    </w:p>
    <w:p w:rsidR="001F61AB" w:rsidRPr="00151895" w:rsidRDefault="001F61AB" w:rsidP="001F61AB">
      <w:pPr>
        <w:tabs>
          <w:tab w:val="left" w:pos="1620"/>
        </w:tabs>
        <w:jc w:val="center"/>
        <w:rPr>
          <w:rFonts w:ascii="Times New Roman" w:hAnsi="Times New Roman" w:cs="Times New Roman"/>
          <w:sz w:val="24"/>
          <w:szCs w:val="24"/>
        </w:rPr>
      </w:pPr>
      <w:proofErr w:type="spellStart"/>
      <w:r>
        <w:rPr>
          <w:rFonts w:ascii="Times New Roman" w:hAnsi="Times New Roman" w:cs="Times New Roman"/>
          <w:sz w:val="24"/>
          <w:szCs w:val="24"/>
        </w:rPr>
        <w:t>Lourdjane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Faiza</w:t>
      </w:r>
      <w:proofErr w:type="spellEnd"/>
    </w:p>
    <w:p w:rsidR="001F61AB" w:rsidRPr="00151895" w:rsidRDefault="001F61AB" w:rsidP="001F61AB">
      <w:pPr>
        <w:tabs>
          <w:tab w:val="left" w:pos="1620"/>
        </w:tabs>
        <w:jc w:val="center"/>
        <w:rPr>
          <w:rFonts w:ascii="Times New Roman" w:hAnsi="Times New Roman" w:cs="Times New Roman"/>
          <w:sz w:val="24"/>
          <w:szCs w:val="24"/>
        </w:rPr>
      </w:pPr>
      <w:r w:rsidRPr="00151895">
        <w:rPr>
          <w:rFonts w:ascii="Times New Roman" w:hAnsi="Times New Roman" w:cs="Times New Roman"/>
          <w:sz w:val="24"/>
          <w:szCs w:val="24"/>
        </w:rPr>
        <w:t xml:space="preserve">Laboratoire </w:t>
      </w:r>
      <w:r>
        <w:rPr>
          <w:rFonts w:ascii="Times New Roman" w:hAnsi="Times New Roman" w:cs="Times New Roman"/>
          <w:sz w:val="24"/>
          <w:szCs w:val="24"/>
        </w:rPr>
        <w:t xml:space="preserve">solutions solides </w:t>
      </w:r>
    </w:p>
    <w:p w:rsidR="001F61AB" w:rsidRPr="00F40829" w:rsidRDefault="001F61AB" w:rsidP="001F61AB">
      <w:pPr>
        <w:jc w:val="center"/>
        <w:rPr>
          <w:rFonts w:asciiTheme="majorBidi" w:hAnsiTheme="majorBidi" w:cs="Aharoni"/>
          <w:bCs/>
          <w:color w:val="000000" w:themeColor="text1"/>
          <w:sz w:val="40"/>
          <w:szCs w:val="40"/>
        </w:rPr>
      </w:pPr>
      <w:r w:rsidRPr="00151895">
        <w:rPr>
          <w:rFonts w:ascii="Times New Roman" w:hAnsi="Times New Roman" w:cs="Times New Roman"/>
          <w:sz w:val="24"/>
          <w:szCs w:val="24"/>
        </w:rPr>
        <w:t>Faculté de Physique, USTHB</w:t>
      </w:r>
    </w:p>
    <w:p w:rsidR="001F61AB" w:rsidRPr="004111B3" w:rsidRDefault="001F61AB" w:rsidP="001F61AB">
      <w:pPr>
        <w:pBdr>
          <w:top w:val="single" w:sz="18" w:space="1" w:color="auto"/>
          <w:left w:val="single" w:sz="18" w:space="4" w:color="auto"/>
          <w:bottom w:val="single" w:sz="18" w:space="1" w:color="auto"/>
          <w:right w:val="single" w:sz="18" w:space="4" w:color="auto"/>
        </w:pBdr>
        <w:jc w:val="both"/>
        <w:rPr>
          <w:rFonts w:asciiTheme="majorBidi" w:hAnsiTheme="majorBidi" w:cstheme="majorBidi"/>
          <w:b/>
          <w:bCs/>
          <w:sz w:val="24"/>
          <w:szCs w:val="24"/>
        </w:rPr>
      </w:pPr>
      <w:r w:rsidRPr="004111B3">
        <w:rPr>
          <w:rFonts w:asciiTheme="majorBidi" w:hAnsiTheme="majorBidi" w:cstheme="majorBidi"/>
          <w:b/>
          <w:bCs/>
          <w:sz w:val="24"/>
          <w:szCs w:val="24"/>
        </w:rPr>
        <w:t>Résumé</w:t>
      </w:r>
    </w:p>
    <w:p w:rsidR="001F61AB" w:rsidRPr="00F614F6" w:rsidRDefault="001F61AB" w:rsidP="001F61AB">
      <w:pPr>
        <w:pBdr>
          <w:top w:val="single" w:sz="18" w:space="1" w:color="auto"/>
          <w:left w:val="single" w:sz="18" w:space="4" w:color="auto"/>
          <w:bottom w:val="single" w:sz="18" w:space="1" w:color="auto"/>
          <w:right w:val="single" w:sz="18" w:space="4" w:color="auto"/>
        </w:pBdr>
        <w:jc w:val="both"/>
        <w:rPr>
          <w:rFonts w:asciiTheme="majorBidi" w:hAnsiTheme="majorBidi" w:cstheme="majorBidi"/>
          <w:sz w:val="24"/>
          <w:szCs w:val="24"/>
        </w:rPr>
      </w:pPr>
      <w:r w:rsidRPr="00F614F6">
        <w:rPr>
          <w:rFonts w:asciiTheme="majorBidi" w:hAnsiTheme="majorBidi" w:cstheme="majorBidi"/>
          <w:sz w:val="24"/>
          <w:szCs w:val="24"/>
        </w:rPr>
        <w:t xml:space="preserve">L’alliage </w:t>
      </w:r>
      <w:proofErr w:type="spellStart"/>
      <w:r w:rsidRPr="00F614F6">
        <w:rPr>
          <w:rFonts w:asciiTheme="majorBidi" w:hAnsiTheme="majorBidi" w:cstheme="majorBidi"/>
          <w:sz w:val="24"/>
          <w:szCs w:val="24"/>
        </w:rPr>
        <w:t>AlAg</w:t>
      </w:r>
      <w:proofErr w:type="spellEnd"/>
      <w:r w:rsidRPr="00F614F6">
        <w:rPr>
          <w:rFonts w:asciiTheme="majorBidi" w:hAnsiTheme="majorBidi" w:cstheme="majorBidi"/>
          <w:sz w:val="24"/>
          <w:szCs w:val="24"/>
        </w:rPr>
        <w:t xml:space="preserve"> est le siège de transformations de phase à l’état solide. Une solution solide sursaturée </w:t>
      </w:r>
      <w:proofErr w:type="spellStart"/>
      <w:r w:rsidRPr="00F614F6">
        <w:rPr>
          <w:rFonts w:asciiTheme="majorBidi" w:hAnsiTheme="majorBidi" w:cstheme="majorBidi"/>
          <w:sz w:val="24"/>
          <w:szCs w:val="24"/>
        </w:rPr>
        <w:t>AlAg</w:t>
      </w:r>
      <w:proofErr w:type="spellEnd"/>
      <w:r w:rsidRPr="00F614F6">
        <w:rPr>
          <w:rFonts w:asciiTheme="majorBidi" w:hAnsiTheme="majorBidi" w:cstheme="majorBidi"/>
          <w:sz w:val="24"/>
          <w:szCs w:val="24"/>
        </w:rPr>
        <w:t xml:space="preserve"> évolue vers un état d’équilibre caractéri</w:t>
      </w:r>
      <w:r>
        <w:rPr>
          <w:rFonts w:asciiTheme="majorBidi" w:hAnsiTheme="majorBidi" w:cstheme="majorBidi"/>
          <w:sz w:val="24"/>
          <w:szCs w:val="24"/>
        </w:rPr>
        <w:t>sé par la précipitation d’une p</w:t>
      </w:r>
      <w:r w:rsidRPr="00F614F6">
        <w:rPr>
          <w:rFonts w:asciiTheme="majorBidi" w:hAnsiTheme="majorBidi" w:cstheme="majorBidi"/>
          <w:sz w:val="24"/>
          <w:szCs w:val="24"/>
        </w:rPr>
        <w:t>hase d’équilibre stable γ de stœchiométrie Ag</w:t>
      </w:r>
      <w:r w:rsidRPr="00F614F6">
        <w:rPr>
          <w:rFonts w:asciiTheme="majorBidi" w:hAnsiTheme="majorBidi" w:cstheme="majorBidi"/>
          <w:sz w:val="24"/>
          <w:szCs w:val="24"/>
          <w:vertAlign w:val="subscript"/>
        </w:rPr>
        <w:t>2</w:t>
      </w:r>
      <w:r w:rsidRPr="00F614F6">
        <w:rPr>
          <w:rFonts w:asciiTheme="majorBidi" w:hAnsiTheme="majorBidi" w:cstheme="majorBidi"/>
          <w:sz w:val="24"/>
          <w:szCs w:val="24"/>
        </w:rPr>
        <w:t xml:space="preserve">Al en passant par une succession d’états métastables caractérisés par la précipitation de phases métastables selon la séquence : </w:t>
      </w:r>
    </w:p>
    <w:p w:rsidR="001F61AB" w:rsidRPr="00F614F6" w:rsidRDefault="001F61AB" w:rsidP="001F61AB">
      <w:pPr>
        <w:pBdr>
          <w:top w:val="single" w:sz="18" w:space="1" w:color="auto"/>
          <w:left w:val="single" w:sz="18" w:space="4" w:color="auto"/>
          <w:bottom w:val="single" w:sz="18" w:space="1" w:color="auto"/>
          <w:right w:val="single" w:sz="18" w:space="4" w:color="auto"/>
        </w:pBdr>
        <w:jc w:val="both"/>
        <w:rPr>
          <w:rFonts w:asciiTheme="majorBidi" w:hAnsiTheme="majorBidi" w:cstheme="majorBidi"/>
          <w:sz w:val="24"/>
          <w:szCs w:val="24"/>
        </w:rPr>
      </w:pPr>
      <w:r w:rsidRPr="00F614F6">
        <w:rPr>
          <w:rFonts w:asciiTheme="majorBidi" w:hAnsiTheme="majorBidi" w:cstheme="majorBidi"/>
          <w:sz w:val="24"/>
          <w:szCs w:val="24"/>
        </w:rPr>
        <w:t>α</w:t>
      </w:r>
      <w:r w:rsidRPr="00F614F6">
        <w:rPr>
          <w:rFonts w:asciiTheme="majorBidi" w:hAnsiTheme="majorBidi" w:cstheme="majorBidi"/>
          <w:sz w:val="24"/>
          <w:szCs w:val="24"/>
          <w:vertAlign w:val="superscript"/>
        </w:rPr>
        <w:t>*</w:t>
      </w:r>
      <w:r w:rsidRPr="00F614F6">
        <w:rPr>
          <w:rFonts w:asciiTheme="majorBidi" w:hAnsiTheme="majorBidi" w:cstheme="majorBidi"/>
          <w:sz w:val="24"/>
          <w:szCs w:val="24"/>
        </w:rPr>
        <w:t>(solution solde sursaturée) → α + zones GP (</w:t>
      </w:r>
      <w:proofErr w:type="spellStart"/>
      <w:r w:rsidRPr="00F614F6">
        <w:rPr>
          <w:rFonts w:asciiTheme="majorBidi" w:hAnsiTheme="majorBidi" w:cstheme="majorBidi"/>
          <w:sz w:val="24"/>
          <w:szCs w:val="24"/>
        </w:rPr>
        <w:t>Guinier</w:t>
      </w:r>
      <w:proofErr w:type="spellEnd"/>
      <w:r w:rsidRPr="00F614F6">
        <w:rPr>
          <w:rFonts w:asciiTheme="majorBidi" w:hAnsiTheme="majorBidi" w:cstheme="majorBidi"/>
          <w:sz w:val="24"/>
          <w:szCs w:val="24"/>
        </w:rPr>
        <w:t>-Preston) → α + phase métastable γ’ (Ag</w:t>
      </w:r>
      <w:r w:rsidRPr="00F614F6">
        <w:rPr>
          <w:rFonts w:asciiTheme="majorBidi" w:hAnsiTheme="majorBidi" w:cstheme="majorBidi"/>
          <w:sz w:val="24"/>
          <w:szCs w:val="24"/>
          <w:vertAlign w:val="subscript"/>
        </w:rPr>
        <w:t>2</w:t>
      </w:r>
      <w:r w:rsidRPr="00F614F6">
        <w:rPr>
          <w:rFonts w:asciiTheme="majorBidi" w:hAnsiTheme="majorBidi" w:cstheme="majorBidi"/>
          <w:sz w:val="24"/>
          <w:szCs w:val="24"/>
        </w:rPr>
        <w:t xml:space="preserve">Al) → α </w:t>
      </w:r>
      <w:proofErr w:type="gramStart"/>
      <w:r w:rsidRPr="00F614F6">
        <w:rPr>
          <w:rFonts w:asciiTheme="majorBidi" w:hAnsiTheme="majorBidi" w:cstheme="majorBidi"/>
          <w:sz w:val="24"/>
          <w:szCs w:val="24"/>
        </w:rPr>
        <w:t>+  phase</w:t>
      </w:r>
      <w:proofErr w:type="gramEnd"/>
      <w:r w:rsidRPr="00F614F6">
        <w:rPr>
          <w:rFonts w:asciiTheme="majorBidi" w:hAnsiTheme="majorBidi" w:cstheme="majorBidi"/>
          <w:sz w:val="24"/>
          <w:szCs w:val="24"/>
        </w:rPr>
        <w:t xml:space="preserve"> d’équilibre γ(Ag</w:t>
      </w:r>
      <w:r w:rsidRPr="00F614F6">
        <w:rPr>
          <w:rFonts w:asciiTheme="majorBidi" w:hAnsiTheme="majorBidi" w:cstheme="majorBidi"/>
          <w:sz w:val="24"/>
          <w:szCs w:val="24"/>
          <w:vertAlign w:val="subscript"/>
        </w:rPr>
        <w:t>2</w:t>
      </w:r>
      <w:r w:rsidRPr="00F614F6">
        <w:rPr>
          <w:rFonts w:asciiTheme="majorBidi" w:hAnsiTheme="majorBidi" w:cstheme="majorBidi"/>
          <w:sz w:val="24"/>
          <w:szCs w:val="24"/>
        </w:rPr>
        <w:t>Al).</w:t>
      </w:r>
    </w:p>
    <w:p w:rsidR="001F61AB" w:rsidRDefault="001F61AB" w:rsidP="001F61AB">
      <w:pPr>
        <w:pBdr>
          <w:top w:val="single" w:sz="18" w:space="1" w:color="auto"/>
          <w:left w:val="single" w:sz="18" w:space="4" w:color="auto"/>
          <w:bottom w:val="single" w:sz="18" w:space="1" w:color="auto"/>
          <w:right w:val="single" w:sz="18" w:space="4" w:color="auto"/>
        </w:pBdr>
        <w:jc w:val="both"/>
        <w:rPr>
          <w:rFonts w:asciiTheme="majorBidi" w:hAnsiTheme="majorBidi" w:cstheme="majorBidi"/>
          <w:sz w:val="24"/>
          <w:szCs w:val="24"/>
        </w:rPr>
      </w:pPr>
      <w:r w:rsidRPr="00F614F6">
        <w:rPr>
          <w:rFonts w:asciiTheme="majorBidi" w:hAnsiTheme="majorBidi" w:cstheme="majorBidi"/>
          <w:sz w:val="24"/>
          <w:szCs w:val="24"/>
        </w:rPr>
        <w:t xml:space="preserve">Cette évolution, régie par la diffusion d’atomes de soluté, s’accompagne d’un durcissement structural résultant de l’interaction entre les dislocations en mouvement et les particules de phase précipitées, et d’une variation de la résistivité électrique due à l’interaction entre les électrons libres en mouvement et les particules de phase précipitées. Dans ce travail nous nous proposons d’établir les cinétiques de précipitation des zones GP et de la phase </w:t>
      </w:r>
      <w:proofErr w:type="gramStart"/>
      <w:r w:rsidRPr="00F614F6">
        <w:rPr>
          <w:rFonts w:asciiTheme="majorBidi" w:hAnsiTheme="majorBidi" w:cstheme="majorBidi"/>
          <w:sz w:val="24"/>
          <w:szCs w:val="24"/>
        </w:rPr>
        <w:t xml:space="preserve">métastable  </w:t>
      </w:r>
      <w:proofErr w:type="spellStart"/>
      <w:r w:rsidRPr="00F614F6">
        <w:rPr>
          <w:rFonts w:asciiTheme="majorBidi" w:hAnsiTheme="majorBidi" w:cstheme="majorBidi"/>
          <w:sz w:val="24"/>
          <w:szCs w:val="24"/>
        </w:rPr>
        <w:t>γ’dans</w:t>
      </w:r>
      <w:proofErr w:type="spellEnd"/>
      <w:proofErr w:type="gramEnd"/>
      <w:r w:rsidRPr="00F614F6">
        <w:rPr>
          <w:rFonts w:asciiTheme="majorBidi" w:hAnsiTheme="majorBidi" w:cstheme="majorBidi"/>
          <w:sz w:val="24"/>
          <w:szCs w:val="24"/>
        </w:rPr>
        <w:t xml:space="preserve"> l’alliage </w:t>
      </w:r>
      <w:proofErr w:type="spellStart"/>
      <w:r w:rsidRPr="00F614F6">
        <w:rPr>
          <w:rFonts w:asciiTheme="majorBidi" w:hAnsiTheme="majorBidi" w:cstheme="majorBidi"/>
          <w:sz w:val="24"/>
          <w:szCs w:val="24"/>
        </w:rPr>
        <w:t>AlAg</w:t>
      </w:r>
      <w:proofErr w:type="spellEnd"/>
      <w:r w:rsidRPr="00F614F6">
        <w:rPr>
          <w:rFonts w:asciiTheme="majorBidi" w:hAnsiTheme="majorBidi" w:cstheme="majorBidi"/>
          <w:sz w:val="24"/>
          <w:szCs w:val="24"/>
        </w:rPr>
        <w:t xml:space="preserve"> en utilisant une méthode basée sur des mesures de dureté et de résistivité électrique et d’étudier l’effet d’addition  d’étain, de cuivre et de silicium. Les résultats montrent qu’aussi bien la précipitation des les zones GP et celle de la phase métastable γ’ sont régies par un phénomène de germination et croissance dans les alliages Al10at.%Ag, Al10at.%Ag0</w:t>
      </w:r>
      <w:proofErr w:type="gramStart"/>
      <w:r w:rsidRPr="00F614F6">
        <w:rPr>
          <w:rFonts w:asciiTheme="majorBidi" w:hAnsiTheme="majorBidi" w:cstheme="majorBidi"/>
          <w:sz w:val="24"/>
          <w:szCs w:val="24"/>
        </w:rPr>
        <w:t>,05at</w:t>
      </w:r>
      <w:proofErr w:type="gramEnd"/>
      <w:r w:rsidRPr="00F614F6">
        <w:rPr>
          <w:rFonts w:asciiTheme="majorBidi" w:hAnsiTheme="majorBidi" w:cstheme="majorBidi"/>
          <w:sz w:val="24"/>
          <w:szCs w:val="24"/>
        </w:rPr>
        <w:t>.%Sn, Al10at.%Ag0,1at.%Cu et Al10at.%Ag0,1at.%Si. La croissance des zones GP et celle de la phase métastable γ’obéissent à la loi de JMAK (</w:t>
      </w:r>
      <w:proofErr w:type="spellStart"/>
      <w:r w:rsidRPr="00F614F6">
        <w:rPr>
          <w:rFonts w:asciiTheme="majorBidi" w:hAnsiTheme="majorBidi" w:cstheme="majorBidi"/>
          <w:sz w:val="24"/>
          <w:szCs w:val="24"/>
        </w:rPr>
        <w:t>Johson</w:t>
      </w:r>
      <w:proofErr w:type="spellEnd"/>
      <w:r w:rsidRPr="00F614F6">
        <w:rPr>
          <w:rFonts w:asciiTheme="majorBidi" w:hAnsiTheme="majorBidi" w:cstheme="majorBidi"/>
          <w:sz w:val="24"/>
          <w:szCs w:val="24"/>
        </w:rPr>
        <w:t>-</w:t>
      </w:r>
      <w:proofErr w:type="spellStart"/>
      <w:r w:rsidRPr="00F614F6">
        <w:rPr>
          <w:rFonts w:asciiTheme="majorBidi" w:hAnsiTheme="majorBidi" w:cstheme="majorBidi"/>
          <w:sz w:val="24"/>
          <w:szCs w:val="24"/>
        </w:rPr>
        <w:t>Mehl</w:t>
      </w:r>
      <w:proofErr w:type="spellEnd"/>
      <w:r w:rsidRPr="00F614F6">
        <w:rPr>
          <w:rFonts w:asciiTheme="majorBidi" w:hAnsiTheme="majorBidi" w:cstheme="majorBidi"/>
          <w:sz w:val="24"/>
          <w:szCs w:val="24"/>
        </w:rPr>
        <w:t>-</w:t>
      </w:r>
      <w:proofErr w:type="spellStart"/>
      <w:r w:rsidRPr="00F614F6">
        <w:rPr>
          <w:rFonts w:asciiTheme="majorBidi" w:hAnsiTheme="majorBidi" w:cstheme="majorBidi"/>
          <w:sz w:val="24"/>
          <w:szCs w:val="24"/>
        </w:rPr>
        <w:t>Avrami</w:t>
      </w:r>
      <w:proofErr w:type="spellEnd"/>
      <w:r w:rsidRPr="00F614F6">
        <w:rPr>
          <w:rFonts w:asciiTheme="majorBidi" w:hAnsiTheme="majorBidi" w:cstheme="majorBidi"/>
          <w:sz w:val="24"/>
          <w:szCs w:val="24"/>
        </w:rPr>
        <w:t>-Kolmogorov) de la croissance contrôlées par la diffusion d’atomes de soluté et leurs coalescences sont régies par théorie de la coalescence de LSW (</w:t>
      </w:r>
      <w:proofErr w:type="spellStart"/>
      <w:r w:rsidRPr="00F614F6">
        <w:rPr>
          <w:rFonts w:asciiTheme="majorBidi" w:hAnsiTheme="majorBidi" w:cstheme="majorBidi"/>
          <w:sz w:val="24"/>
          <w:szCs w:val="24"/>
        </w:rPr>
        <w:t>Lifshitz</w:t>
      </w:r>
      <w:proofErr w:type="spellEnd"/>
      <w:r w:rsidRPr="00F614F6">
        <w:rPr>
          <w:rFonts w:asciiTheme="majorBidi" w:hAnsiTheme="majorBidi" w:cstheme="majorBidi"/>
          <w:sz w:val="24"/>
          <w:szCs w:val="24"/>
        </w:rPr>
        <w:t>-</w:t>
      </w:r>
      <w:proofErr w:type="spellStart"/>
      <w:r w:rsidRPr="00F614F6">
        <w:rPr>
          <w:rFonts w:asciiTheme="majorBidi" w:hAnsiTheme="majorBidi" w:cstheme="majorBidi"/>
          <w:sz w:val="24"/>
          <w:szCs w:val="24"/>
        </w:rPr>
        <w:t>Slyosov</w:t>
      </w:r>
      <w:proofErr w:type="spellEnd"/>
      <w:r w:rsidRPr="00F614F6">
        <w:rPr>
          <w:rFonts w:asciiTheme="majorBidi" w:hAnsiTheme="majorBidi" w:cstheme="majorBidi"/>
          <w:sz w:val="24"/>
          <w:szCs w:val="24"/>
        </w:rPr>
        <w:t xml:space="preserve">-Wagner). Au cours des phases de croissance des zones GP et de la phase métastable </w:t>
      </w:r>
      <w:proofErr w:type="gramStart"/>
      <w:r w:rsidRPr="00F614F6">
        <w:rPr>
          <w:rFonts w:asciiTheme="majorBidi" w:hAnsiTheme="majorBidi" w:cstheme="majorBidi"/>
          <w:sz w:val="24"/>
          <w:szCs w:val="24"/>
        </w:rPr>
        <w:t>γ’ ,</w:t>
      </w:r>
      <w:proofErr w:type="gramEnd"/>
      <w:r w:rsidRPr="00F614F6">
        <w:rPr>
          <w:rFonts w:asciiTheme="majorBidi" w:hAnsiTheme="majorBidi" w:cstheme="majorBidi"/>
          <w:sz w:val="24"/>
          <w:szCs w:val="24"/>
        </w:rPr>
        <w:t xml:space="preserve"> les énergies d’activation  déterminées sur la base de la relation d ’</w:t>
      </w:r>
      <w:proofErr w:type="spellStart"/>
      <w:r w:rsidRPr="00F614F6">
        <w:rPr>
          <w:rFonts w:asciiTheme="majorBidi" w:hAnsiTheme="majorBidi" w:cstheme="majorBidi"/>
          <w:sz w:val="24"/>
          <w:szCs w:val="24"/>
        </w:rPr>
        <w:t>Arrhénius</w:t>
      </w:r>
      <w:proofErr w:type="spellEnd"/>
      <w:r w:rsidRPr="00F614F6">
        <w:rPr>
          <w:rFonts w:asciiTheme="majorBidi" w:hAnsiTheme="majorBidi" w:cstheme="majorBidi"/>
          <w:sz w:val="24"/>
          <w:szCs w:val="24"/>
        </w:rPr>
        <w:t xml:space="preserve"> mettent en évidence des réactions de croissances rapides. L’addition d’étain retarde la précipitation des zones GP et l’accélération de la phase métastable γ’. L’addition de cuivre ou de silicium retarde aussi bien la formation des zones GP que la précipitation de la phase métastable γ’. </w:t>
      </w:r>
      <w:bookmarkStart w:id="0" w:name="_GoBack"/>
      <w:bookmarkEnd w:id="0"/>
    </w:p>
    <w:sectPr w:rsidR="001F61AB" w:rsidSect="005513F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1F61AB"/>
    <w:rsid w:val="000369A0"/>
    <w:rsid w:val="001F61AB"/>
    <w:rsid w:val="00506B10"/>
    <w:rsid w:val="005513F2"/>
    <w:rsid w:val="00B075C2"/>
    <w:rsid w:val="00DA5D68"/>
    <w:rsid w:val="00DD50E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410584-FBBC-4822-97A7-D39EAF74A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61A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358</Words>
  <Characters>1969</Characters>
  <Application>Microsoft Office Word</Application>
  <DocSecurity>0</DocSecurity>
  <Lines>16</Lines>
  <Paragraphs>4</Paragraphs>
  <ScaleCrop>false</ScaleCrop>
  <Company/>
  <LinksUpToDate>false</LinksUpToDate>
  <CharactersWithSpaces>2323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H-Info</dc:creator>
  <cp:lastModifiedBy>naima</cp:lastModifiedBy>
  <cp:revision>3</cp:revision>
  <dcterms:created xsi:type="dcterms:W3CDTF">2018-02-03T09:26:00Z</dcterms:created>
  <dcterms:modified xsi:type="dcterms:W3CDTF">2018-05-09T10:01:00Z</dcterms:modified>
</cp:coreProperties>
</file>