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Les travaux de recherche présentés dans ce mémoire concernent l'étude de la morphologie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et des propriétés des mélanges constitués de polystyrène et de polyéthylène haute densité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qui sont des polymères thermoplastiques de grande diffusion dans l'industrie de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transformation.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Le polyéthylène et le polystyrène sont immiscibles à l'état fondu. Ceci est du au fait que ces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deux polymères n'ont pas la même structure chimique. Le PS est un polymère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thermoplastique de grande consommation à l'échelle mondiale.  Certaines de ses propriétés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telles que sa rigidité et sa faible résistance au choc limitent son utilisation, malgré ses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nombreuses applications. Sa combinaison avec le  PEHD, polymère à chaines flexibles,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améliorerait sa tenue mécanique.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Dans le cadre de ce travail, nous nous proposons d'améliorer la compatibilité des mélanges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PEHD/PS, utilisant la nanocharge bentoonite organophile comme agent compatibilisant. A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cet effet, des nanomatériaux de type PEHD/PS/OBT ont été élaborés par Melt-intercalation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, dont le principe est de mélanger, à l'état fondu, l'argile et les deux polymères.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La morphologie des nanomatériaux obtenus a été examinée  par spectroscopie FTIR, par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diffraction X et par microscopie électronique à balayage.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L'introduction de 3 % de la bentonite organophile (OBT) au sein des mélanges PEHD/PS, a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permis d'améliorer leurs propriétés thermiques. Une meilleure stabilité thermique est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observée dans le cas des mélanges nanostructurés par rapport à leurs homologues non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 chargé. L'apparition d'une seule température de dégradation intermédiaire à celles de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 xml:space="preserve">leurs deux constituants purs pourrait être considérée comme une preuve de la l'amélioration </w:t>
      </w:r>
    </w:p>
    <w:p w:rsidR="00E66B3E" w:rsidRPr="00E66B3E" w:rsidRDefault="00E66B3E" w:rsidP="00E66B3E">
      <w:pPr>
        <w:bidi w:val="0"/>
        <w:rPr>
          <w:lang w:val="fr-FR" w:bidi="ar-DZ"/>
        </w:rPr>
      </w:pPr>
      <w:r w:rsidRPr="00E66B3E">
        <w:rPr>
          <w:lang w:val="fr-FR" w:bidi="ar-DZ"/>
        </w:rPr>
        <w:t>de la compatibilité des ces mélanges.</w:t>
      </w:r>
    </w:p>
    <w:p w:rsidR="00DA221E" w:rsidRPr="00E66B3E" w:rsidRDefault="00E66B3E" w:rsidP="00E66B3E">
      <w:pPr>
        <w:bidi w:val="0"/>
        <w:rPr>
          <w:rFonts w:hint="cs"/>
          <w:lang w:val="fr-FR" w:bidi="ar-DZ"/>
        </w:rPr>
      </w:pPr>
      <w:r w:rsidRPr="00E66B3E">
        <w:rPr>
          <w:lang w:val="fr-FR" w:bidi="ar-DZ"/>
        </w:rPr>
        <w:t>Les résultats des essais de traction, tels que le module de Young (E), la contrainte à la rupture ? et l'allongement ? (%) à la rupture, reflètent également une amélioration des propriétés mécaniques des nanocomposites ternaires.</w:t>
      </w:r>
    </w:p>
    <w:sectPr w:rsidR="00DA221E" w:rsidRPr="00E66B3E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E66B3E"/>
    <w:rsid w:val="005F47AF"/>
    <w:rsid w:val="00DA221E"/>
    <w:rsid w:val="00E6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21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2016-01-04T10:18:00Z</dcterms:created>
  <dcterms:modified xsi:type="dcterms:W3CDTF">2016-01-04T10:18:00Z</dcterms:modified>
</cp:coreProperties>
</file>