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4E09" w:rsidRPr="005A6A0C" w:rsidRDefault="00A34E09" w:rsidP="00A34E09">
      <w:pPr>
        <w:jc w:val="center"/>
        <w:rPr>
          <w:rFonts w:ascii="Georgia" w:hAnsi="Georgia"/>
          <w:b/>
          <w:szCs w:val="24"/>
        </w:rPr>
      </w:pPr>
      <w:r w:rsidRPr="005A6A0C">
        <w:rPr>
          <w:rFonts w:ascii="Georgia" w:hAnsi="Georgia"/>
          <w:b/>
          <w:szCs w:val="24"/>
        </w:rPr>
        <w:t>Contribution à l’</w:t>
      </w:r>
      <w:r w:rsidRPr="005A6A0C">
        <w:rPr>
          <w:rFonts w:ascii="Georgia" w:hAnsi="Georgia" w:cs="Calibri"/>
          <w:b/>
          <w:szCs w:val="24"/>
        </w:rPr>
        <w:t>é</w:t>
      </w:r>
      <w:r w:rsidRPr="005A6A0C">
        <w:rPr>
          <w:rFonts w:ascii="Georgia" w:hAnsi="Georgia"/>
          <w:b/>
          <w:szCs w:val="24"/>
        </w:rPr>
        <w:t>tude de l’e</w:t>
      </w:r>
      <w:r w:rsidRPr="005A6A0C">
        <w:rPr>
          <w:rFonts w:ascii="Georgia" w:hAnsi="Georgia" w:cs="Calibri"/>
          <w:b/>
          <w:szCs w:val="24"/>
        </w:rPr>
        <w:t>ff</w:t>
      </w:r>
      <w:r w:rsidRPr="005A6A0C">
        <w:rPr>
          <w:rFonts w:ascii="Georgia" w:hAnsi="Georgia"/>
          <w:b/>
          <w:szCs w:val="24"/>
        </w:rPr>
        <w:t>et d’appariement isovectoriel sur</w:t>
      </w:r>
    </w:p>
    <w:p w:rsidR="00A34E09" w:rsidRPr="005A6A0C" w:rsidRDefault="00A34E09" w:rsidP="00A34E09">
      <w:pPr>
        <w:jc w:val="center"/>
        <w:rPr>
          <w:rFonts w:ascii="Georgia" w:hAnsi="Georgia"/>
          <w:b/>
          <w:szCs w:val="24"/>
        </w:rPr>
      </w:pPr>
      <w:r w:rsidRPr="005A6A0C">
        <w:rPr>
          <w:rFonts w:ascii="Georgia" w:hAnsi="Georgia"/>
          <w:b/>
          <w:szCs w:val="24"/>
        </w:rPr>
        <w:t xml:space="preserve"> les double-transitions bêta</w:t>
      </w:r>
    </w:p>
    <w:p w:rsidR="00A34E09" w:rsidRPr="005A6A0C" w:rsidRDefault="00A34E09" w:rsidP="00A34E09">
      <w:pPr>
        <w:jc w:val="center"/>
        <w:rPr>
          <w:rFonts w:ascii="Georgia" w:hAnsi="Georgia"/>
          <w:szCs w:val="24"/>
        </w:rPr>
      </w:pPr>
      <w:r w:rsidRPr="005A6A0C">
        <w:rPr>
          <w:rFonts w:ascii="Georgia" w:hAnsi="Georgia"/>
          <w:szCs w:val="24"/>
        </w:rPr>
        <w:t>REZZOUK Réda</w:t>
      </w:r>
      <w:r w:rsidRPr="005A6A0C">
        <w:rPr>
          <w:rFonts w:ascii="Georgia" w:hAnsi="Georgia"/>
          <w:noProof/>
          <w:szCs w:val="24"/>
          <w:lang w:eastAsia="fr-FR"/>
        </w:rPr>
        <w:drawing>
          <wp:inline distT="0" distB="0" distL="0" distR="0" wp14:anchorId="58C6F743" wp14:editId="6408A938">
            <wp:extent cx="104775" cy="171450"/>
            <wp:effectExtent l="0" t="0" r="9525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75" cy="17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A34E09" w:rsidRPr="005A6A0C" w:rsidRDefault="00A34E09" w:rsidP="00A34E09">
      <w:pPr>
        <w:jc w:val="center"/>
        <w:rPr>
          <w:rFonts w:ascii="Georgia" w:hAnsi="Georgia"/>
          <w:szCs w:val="24"/>
        </w:rPr>
      </w:pPr>
      <w:r w:rsidRPr="005A6A0C">
        <w:rPr>
          <w:rFonts w:ascii="Georgia" w:hAnsi="Georgia"/>
          <w:szCs w:val="24"/>
        </w:rPr>
        <w:t>Laboratoire de Physique Théorique</w:t>
      </w:r>
    </w:p>
    <w:p w:rsidR="00A34E09" w:rsidRPr="005A6A0C" w:rsidRDefault="00A34E09" w:rsidP="00A34E09">
      <w:pPr>
        <w:jc w:val="center"/>
        <w:rPr>
          <w:rFonts w:ascii="Georgia" w:hAnsi="Georgia"/>
          <w:szCs w:val="24"/>
        </w:rPr>
      </w:pPr>
      <w:r w:rsidRPr="005A6A0C">
        <w:rPr>
          <w:rFonts w:ascii="Georgia" w:hAnsi="Georgia"/>
          <w:szCs w:val="24"/>
        </w:rPr>
        <w:t>Faculté de Physique</w:t>
      </w:r>
    </w:p>
    <w:p w:rsidR="00A34E09" w:rsidRPr="005A6A0C" w:rsidRDefault="00A34E09" w:rsidP="00A34E09">
      <w:pPr>
        <w:jc w:val="center"/>
        <w:rPr>
          <w:rFonts w:ascii="Georgia" w:hAnsi="Georgia"/>
          <w:szCs w:val="24"/>
        </w:rPr>
      </w:pPr>
      <w:r w:rsidRPr="005A6A0C">
        <w:rPr>
          <w:rFonts w:ascii="Georgia" w:hAnsi="Georgia"/>
          <w:szCs w:val="24"/>
        </w:rPr>
        <w:t>USTHB</w:t>
      </w:r>
    </w:p>
    <w:p w:rsidR="00A34E09" w:rsidRPr="005A6A0C" w:rsidRDefault="00A34E09" w:rsidP="00A34E09">
      <w:pPr>
        <w:jc w:val="center"/>
        <w:rPr>
          <w:rFonts w:ascii="Georgia" w:hAnsi="Georgia"/>
          <w:szCs w:val="24"/>
        </w:rPr>
      </w:pPr>
      <w:r w:rsidRPr="005A6A0C">
        <w:rPr>
          <w:rFonts w:ascii="Georgia" w:hAnsi="Georgia"/>
          <w:szCs w:val="24"/>
        </w:rPr>
        <w:t>Résumé</w:t>
      </w:r>
    </w:p>
    <w:p w:rsidR="00A34E09" w:rsidRPr="005A6A0C" w:rsidRDefault="00A34E09" w:rsidP="00A34E09">
      <w:pPr>
        <w:rPr>
          <w:rFonts w:ascii="Georgia" w:hAnsi="Georgia"/>
          <w:szCs w:val="24"/>
        </w:rPr>
      </w:pPr>
      <w:r w:rsidRPr="005A6A0C">
        <w:rPr>
          <w:rFonts w:ascii="Georgia" w:hAnsi="Georgia"/>
          <w:szCs w:val="24"/>
        </w:rPr>
        <w:t xml:space="preserve">L’effet de l’appariement neutron-proton (np) sur les éléments de matrice </w:t>
      </w:r>
      <w:proofErr w:type="gramStart"/>
      <w:r w:rsidRPr="005A6A0C">
        <w:rPr>
          <w:rFonts w:ascii="Georgia" w:hAnsi="Georgia"/>
          <w:szCs w:val="24"/>
        </w:rPr>
        <w:t>de la</w:t>
      </w:r>
      <w:proofErr w:type="gramEnd"/>
      <w:r w:rsidRPr="005A6A0C">
        <w:rPr>
          <w:rFonts w:ascii="Georgia" w:hAnsi="Georgia"/>
          <w:szCs w:val="24"/>
        </w:rPr>
        <w:t xml:space="preserve"> double</w:t>
      </w:r>
    </w:p>
    <w:p w:rsidR="00A34E09" w:rsidRPr="005A6A0C" w:rsidRDefault="00A34E09" w:rsidP="00A34E09">
      <w:pPr>
        <w:rPr>
          <w:rFonts w:ascii="Georgia" w:hAnsi="Georgia"/>
          <w:szCs w:val="24"/>
        </w:rPr>
      </w:pPr>
      <w:proofErr w:type="gramStart"/>
      <w:r w:rsidRPr="005A6A0C">
        <w:rPr>
          <w:rFonts w:ascii="Georgia" w:hAnsi="Georgia"/>
          <w:szCs w:val="24"/>
        </w:rPr>
        <w:t>désintégration</w:t>
      </w:r>
      <w:proofErr w:type="gramEnd"/>
      <w:r w:rsidRPr="005A6A0C">
        <w:rPr>
          <w:rFonts w:ascii="Georgia" w:hAnsi="Georgia"/>
          <w:szCs w:val="24"/>
        </w:rPr>
        <w:t xml:space="preserve"> bêta a été étudié dans le cadre de la théorie BCS. Nous avons pour cela</w:t>
      </w:r>
    </w:p>
    <w:p w:rsidR="00A34E09" w:rsidRPr="005A6A0C" w:rsidRDefault="00A34E09" w:rsidP="00A34E09">
      <w:pPr>
        <w:rPr>
          <w:rFonts w:ascii="Georgia" w:hAnsi="Georgia"/>
          <w:szCs w:val="24"/>
        </w:rPr>
      </w:pPr>
      <w:proofErr w:type="gramStart"/>
      <w:r w:rsidRPr="005A6A0C">
        <w:rPr>
          <w:rFonts w:ascii="Georgia" w:hAnsi="Georgia"/>
          <w:szCs w:val="24"/>
        </w:rPr>
        <w:t>considéré</w:t>
      </w:r>
      <w:proofErr w:type="gramEnd"/>
      <w:r w:rsidRPr="005A6A0C">
        <w:rPr>
          <w:rFonts w:ascii="Georgia" w:hAnsi="Georgia"/>
          <w:szCs w:val="24"/>
        </w:rPr>
        <w:t xml:space="preserve"> une forme générale de l’hamiltonien. Ce dernier a </w:t>
      </w:r>
      <w:r w:rsidRPr="005A6A0C">
        <w:rPr>
          <w:rFonts w:ascii="Georgia" w:hAnsi="Georgia" w:cs="Calibri"/>
          <w:szCs w:val="24"/>
        </w:rPr>
        <w:t>é</w:t>
      </w:r>
      <w:r w:rsidRPr="005A6A0C">
        <w:rPr>
          <w:rFonts w:ascii="Georgia" w:hAnsi="Georgia"/>
          <w:szCs w:val="24"/>
        </w:rPr>
        <w:t>t</w:t>
      </w:r>
      <w:r w:rsidRPr="005A6A0C">
        <w:rPr>
          <w:rFonts w:ascii="Georgia" w:hAnsi="Georgia" w:cs="Calibri"/>
          <w:szCs w:val="24"/>
        </w:rPr>
        <w:t>é</w:t>
      </w:r>
      <w:r w:rsidRPr="005A6A0C">
        <w:rPr>
          <w:rFonts w:ascii="Georgia" w:hAnsi="Georgia"/>
          <w:szCs w:val="24"/>
        </w:rPr>
        <w:t xml:space="preserve"> diagonalis</w:t>
      </w:r>
      <w:r w:rsidRPr="005A6A0C">
        <w:rPr>
          <w:rFonts w:ascii="Georgia" w:hAnsi="Georgia" w:cs="Calibri"/>
          <w:szCs w:val="24"/>
        </w:rPr>
        <w:t>é</w:t>
      </w:r>
      <w:r w:rsidRPr="005A6A0C">
        <w:rPr>
          <w:rFonts w:ascii="Georgia" w:hAnsi="Georgia"/>
          <w:szCs w:val="24"/>
        </w:rPr>
        <w:t xml:space="preserve"> approximativement en utilisant le théorème de Wick. Ceci nous a permis de déduire la transformation de Bogoliubov-Valatin généralisée, puis les équations du gap.</w:t>
      </w:r>
    </w:p>
    <w:p w:rsidR="00A34E09" w:rsidRPr="005A6A0C" w:rsidRDefault="00A34E09" w:rsidP="00A34E09">
      <w:pPr>
        <w:rPr>
          <w:rFonts w:ascii="Georgia" w:hAnsi="Georgia"/>
          <w:szCs w:val="24"/>
        </w:rPr>
      </w:pPr>
      <w:r w:rsidRPr="005A6A0C">
        <w:rPr>
          <w:rFonts w:ascii="Georgia" w:hAnsi="Georgia"/>
          <w:szCs w:val="24"/>
        </w:rPr>
        <w:t xml:space="preserve">L’approche </w:t>
      </w:r>
      <w:r w:rsidR="0042135E" w:rsidRPr="005A6A0C">
        <w:rPr>
          <w:rFonts w:ascii="Georgia" w:hAnsi="Georgia"/>
          <w:szCs w:val="24"/>
        </w:rPr>
        <w:t>simplifié</w:t>
      </w:r>
      <w:r w:rsidR="0042135E" w:rsidRPr="005A6A0C">
        <w:rPr>
          <w:rFonts w:ascii="Georgia" w:hAnsi="Georgia" w:cs="Calibri"/>
          <w:szCs w:val="24"/>
        </w:rPr>
        <w:t>e</w:t>
      </w:r>
      <w:r w:rsidRPr="005A6A0C">
        <w:rPr>
          <w:rFonts w:ascii="Georgia" w:hAnsi="Georgia"/>
          <w:szCs w:val="24"/>
        </w:rPr>
        <w:t xml:space="preserve"> propos</w:t>
      </w:r>
      <w:r w:rsidRPr="005A6A0C">
        <w:rPr>
          <w:rFonts w:ascii="Georgia" w:hAnsi="Georgia" w:cs="Calibri"/>
          <w:szCs w:val="24"/>
        </w:rPr>
        <w:t>é</w:t>
      </w:r>
      <w:r w:rsidRPr="005A6A0C">
        <w:rPr>
          <w:rFonts w:ascii="Georgia" w:hAnsi="Georgia"/>
          <w:szCs w:val="24"/>
        </w:rPr>
        <w:t xml:space="preserve">e par Zamick et Auerbach a ensuite </w:t>
      </w:r>
      <w:r w:rsidRPr="005A6A0C">
        <w:rPr>
          <w:rFonts w:ascii="Georgia" w:hAnsi="Georgia" w:cs="Calibri"/>
          <w:szCs w:val="24"/>
        </w:rPr>
        <w:t>é</w:t>
      </w:r>
      <w:r w:rsidRPr="005A6A0C">
        <w:rPr>
          <w:rFonts w:ascii="Georgia" w:hAnsi="Georgia"/>
          <w:szCs w:val="24"/>
        </w:rPr>
        <w:t>t</w:t>
      </w:r>
      <w:r w:rsidRPr="005A6A0C">
        <w:rPr>
          <w:rFonts w:ascii="Georgia" w:hAnsi="Georgia" w:cs="Calibri"/>
          <w:szCs w:val="24"/>
        </w:rPr>
        <w:t>é</w:t>
      </w:r>
      <w:r w:rsidRPr="005A6A0C">
        <w:rPr>
          <w:rFonts w:ascii="Georgia" w:hAnsi="Georgia"/>
          <w:szCs w:val="24"/>
        </w:rPr>
        <w:t xml:space="preserve"> utilis</w:t>
      </w:r>
      <w:r w:rsidRPr="005A6A0C">
        <w:rPr>
          <w:rFonts w:ascii="Georgia" w:hAnsi="Georgia" w:cs="Calibri"/>
          <w:szCs w:val="24"/>
        </w:rPr>
        <w:t>é</w:t>
      </w:r>
      <w:r w:rsidRPr="005A6A0C">
        <w:rPr>
          <w:rFonts w:ascii="Georgia" w:hAnsi="Georgia"/>
          <w:szCs w:val="24"/>
        </w:rPr>
        <w:t>e afin d’</w:t>
      </w:r>
      <w:r w:rsidRPr="005A6A0C">
        <w:rPr>
          <w:rFonts w:ascii="Georgia" w:hAnsi="Georgia" w:cs="Calibri"/>
          <w:szCs w:val="24"/>
        </w:rPr>
        <w:t>é</w:t>
      </w:r>
      <w:r w:rsidRPr="005A6A0C">
        <w:rPr>
          <w:rFonts w:ascii="Georgia" w:hAnsi="Georgia"/>
          <w:szCs w:val="24"/>
        </w:rPr>
        <w:t>tablir les expressions des éléments de matrice de la double désintégration bêta (notés dans ce qui suit &lt;T</w:t>
      </w:r>
      <w:r w:rsidRPr="005A6A0C">
        <w:rPr>
          <w:rFonts w:ascii="Georgia" w:hAnsi="Georgia"/>
          <w:szCs w:val="24"/>
          <w:vertAlign w:val="superscript"/>
        </w:rPr>
        <w:t>+</w:t>
      </w:r>
      <w:r w:rsidRPr="005A6A0C">
        <w:rPr>
          <w:rFonts w:ascii="Georgia" w:hAnsi="Georgia"/>
          <w:szCs w:val="24"/>
        </w:rPr>
        <w:t>T</w:t>
      </w:r>
      <w:r w:rsidRPr="005A6A0C">
        <w:rPr>
          <w:rFonts w:ascii="Georgia" w:hAnsi="Georgia"/>
          <w:szCs w:val="24"/>
          <w:vertAlign w:val="superscript"/>
        </w:rPr>
        <w:t>+</w:t>
      </w:r>
      <w:r w:rsidRPr="005A6A0C">
        <w:rPr>
          <w:rFonts w:ascii="Georgia" w:hAnsi="Georgia"/>
          <w:szCs w:val="24"/>
        </w:rPr>
        <w:t xml:space="preserve">&gt;), aussi bien dans le cas de l’appariement entre particules identiques, que dans le cas de l’appariement isovectoriel. Dans ce dernier cas, il a </w:t>
      </w:r>
      <w:r w:rsidRPr="005A6A0C">
        <w:rPr>
          <w:rFonts w:ascii="Georgia" w:hAnsi="Georgia" w:cs="Calibri"/>
          <w:szCs w:val="24"/>
        </w:rPr>
        <w:t>é</w:t>
      </w:r>
      <w:r w:rsidRPr="005A6A0C">
        <w:rPr>
          <w:rFonts w:ascii="Georgia" w:hAnsi="Georgia"/>
          <w:szCs w:val="24"/>
        </w:rPr>
        <w:t>t</w:t>
      </w:r>
      <w:r w:rsidRPr="005A6A0C">
        <w:rPr>
          <w:rFonts w:ascii="Georgia" w:hAnsi="Georgia" w:cs="Calibri"/>
          <w:szCs w:val="24"/>
        </w:rPr>
        <w:t>é</w:t>
      </w:r>
      <w:r w:rsidRPr="005A6A0C">
        <w:rPr>
          <w:rFonts w:ascii="Georgia" w:hAnsi="Georgia"/>
          <w:szCs w:val="24"/>
        </w:rPr>
        <w:t xml:space="preserve"> montr</w:t>
      </w:r>
      <w:r w:rsidRPr="005A6A0C">
        <w:rPr>
          <w:rFonts w:ascii="Georgia" w:hAnsi="Georgia" w:cs="Calibri"/>
          <w:szCs w:val="24"/>
        </w:rPr>
        <w:t>é</w:t>
      </w:r>
      <w:r w:rsidRPr="005A6A0C">
        <w:rPr>
          <w:rFonts w:ascii="Georgia" w:hAnsi="Georgia"/>
          <w:szCs w:val="24"/>
        </w:rPr>
        <w:t xml:space="preserve"> que lorsqu’on annule l’effet de l’appariement np, on retrouve bien l’expression obtenue en ne consid</w:t>
      </w:r>
      <w:r w:rsidRPr="005A6A0C">
        <w:rPr>
          <w:rFonts w:ascii="Georgia" w:hAnsi="Georgia" w:cs="Calibri"/>
          <w:szCs w:val="24"/>
        </w:rPr>
        <w:t>é</w:t>
      </w:r>
      <w:r w:rsidRPr="005A6A0C">
        <w:rPr>
          <w:rFonts w:ascii="Georgia" w:hAnsi="Georgia"/>
          <w:szCs w:val="24"/>
        </w:rPr>
        <w:t xml:space="preserve">rant que l’appariement entre particules identiques (c’est </w:t>
      </w:r>
      <w:r w:rsidRPr="005A6A0C">
        <w:rPr>
          <w:rFonts w:ascii="Georgia" w:hAnsi="Georgia" w:cs="Calibri"/>
          <w:szCs w:val="24"/>
        </w:rPr>
        <w:t>à</w:t>
      </w:r>
      <w:r w:rsidRPr="005A6A0C">
        <w:rPr>
          <w:rFonts w:ascii="Georgia" w:hAnsi="Georgia"/>
          <w:szCs w:val="24"/>
        </w:rPr>
        <w:t xml:space="preserve"> dire en utilisant la th</w:t>
      </w:r>
      <w:r w:rsidRPr="005A6A0C">
        <w:rPr>
          <w:rFonts w:ascii="Georgia" w:hAnsi="Georgia" w:cs="Calibri"/>
          <w:szCs w:val="24"/>
        </w:rPr>
        <w:t>é</w:t>
      </w:r>
      <w:r w:rsidRPr="005A6A0C">
        <w:rPr>
          <w:rFonts w:ascii="Georgia" w:hAnsi="Georgia"/>
          <w:szCs w:val="24"/>
        </w:rPr>
        <w:t>orie BCS usuelle).</w:t>
      </w:r>
    </w:p>
    <w:p w:rsidR="00A34E09" w:rsidRPr="005A6A0C" w:rsidRDefault="00A34E09" w:rsidP="00A34E09">
      <w:pPr>
        <w:rPr>
          <w:rFonts w:ascii="Georgia" w:hAnsi="Georgia"/>
          <w:szCs w:val="24"/>
        </w:rPr>
      </w:pPr>
      <w:r w:rsidRPr="005A6A0C">
        <w:rPr>
          <w:rFonts w:ascii="Georgia" w:hAnsi="Georgia"/>
          <w:szCs w:val="24"/>
        </w:rPr>
        <w:t>Une étude numérique a ensuite été effectuée dans le cadre du modèle schématique à un niveau. Elle a nécessité l’</w:t>
      </w:r>
      <w:r w:rsidRPr="005A6A0C">
        <w:rPr>
          <w:rFonts w:ascii="Georgia" w:hAnsi="Georgia" w:cs="Calibri"/>
          <w:szCs w:val="24"/>
        </w:rPr>
        <w:t>é</w:t>
      </w:r>
      <w:r w:rsidRPr="005A6A0C">
        <w:rPr>
          <w:rFonts w:ascii="Georgia" w:hAnsi="Georgia"/>
          <w:szCs w:val="24"/>
        </w:rPr>
        <w:t>laboration de deux codes de calcul : le premier correspondant à la théorie BCS usuelle, le second correspondant au cas de l’appariement isovectoriel. Il a été vérifié que lorsque l’on annule les e</w:t>
      </w:r>
      <w:r w:rsidRPr="005A6A0C">
        <w:rPr>
          <w:rFonts w:ascii="Georgia" w:hAnsi="Georgia" w:cs="Calibri"/>
          <w:szCs w:val="24"/>
        </w:rPr>
        <w:t>ff</w:t>
      </w:r>
      <w:r w:rsidRPr="005A6A0C">
        <w:rPr>
          <w:rFonts w:ascii="Georgia" w:hAnsi="Georgia"/>
          <w:szCs w:val="24"/>
        </w:rPr>
        <w:t>ets d’appariement np, les r</w:t>
      </w:r>
      <w:r w:rsidRPr="005A6A0C">
        <w:rPr>
          <w:rFonts w:ascii="Georgia" w:hAnsi="Georgia" w:cs="Calibri"/>
          <w:szCs w:val="24"/>
        </w:rPr>
        <w:t>é</w:t>
      </w:r>
      <w:r w:rsidRPr="005A6A0C">
        <w:rPr>
          <w:rFonts w:ascii="Georgia" w:hAnsi="Georgia"/>
          <w:szCs w:val="24"/>
        </w:rPr>
        <w:t>sultats du second code correspondent à ceux du premier.</w:t>
      </w:r>
    </w:p>
    <w:p w:rsidR="00A34E09" w:rsidRPr="005A6A0C" w:rsidRDefault="00A34E09" w:rsidP="00A34E09">
      <w:pPr>
        <w:rPr>
          <w:rFonts w:ascii="Georgia" w:hAnsi="Georgia"/>
          <w:szCs w:val="24"/>
        </w:rPr>
      </w:pPr>
      <w:r w:rsidRPr="005A6A0C">
        <w:rPr>
          <w:rFonts w:ascii="Georgia" w:hAnsi="Georgia"/>
          <w:szCs w:val="24"/>
        </w:rPr>
        <w:t>Les variations de &lt;T</w:t>
      </w:r>
      <w:r w:rsidRPr="005A6A0C">
        <w:rPr>
          <w:rFonts w:ascii="Georgia" w:hAnsi="Georgia"/>
          <w:szCs w:val="24"/>
          <w:vertAlign w:val="superscript"/>
        </w:rPr>
        <w:t>+</w:t>
      </w:r>
      <w:r w:rsidRPr="005A6A0C">
        <w:rPr>
          <w:rFonts w:ascii="Georgia" w:hAnsi="Georgia"/>
          <w:szCs w:val="24"/>
        </w:rPr>
        <w:t>T</w:t>
      </w:r>
      <w:r w:rsidRPr="005A6A0C">
        <w:rPr>
          <w:rFonts w:ascii="Georgia" w:hAnsi="Georgia"/>
          <w:szCs w:val="24"/>
          <w:vertAlign w:val="superscript"/>
        </w:rPr>
        <w:t>+</w:t>
      </w:r>
      <w:r w:rsidRPr="005A6A0C">
        <w:rPr>
          <w:rFonts w:ascii="Georgia" w:hAnsi="Georgia"/>
          <w:szCs w:val="24"/>
        </w:rPr>
        <w:t>&gt; ont été étudiées en fonction de la constante d’appariement</w:t>
      </w:r>
    </w:p>
    <w:p w:rsidR="00A34E09" w:rsidRPr="005A6A0C" w:rsidRDefault="00A34E09" w:rsidP="00A34E09">
      <w:pPr>
        <w:rPr>
          <w:rFonts w:ascii="Georgia" w:hAnsi="Georgia"/>
          <w:szCs w:val="24"/>
        </w:rPr>
      </w:pPr>
      <w:r w:rsidRPr="005A6A0C">
        <w:rPr>
          <w:rFonts w:ascii="Georgia" w:hAnsi="Georgia"/>
          <w:szCs w:val="24"/>
        </w:rPr>
        <w:t>neutron-proton G</w:t>
      </w:r>
      <w:r w:rsidRPr="005A6A0C">
        <w:rPr>
          <w:rFonts w:ascii="Georgia" w:hAnsi="Georgia"/>
          <w:szCs w:val="24"/>
          <w:vertAlign w:val="subscript"/>
        </w:rPr>
        <w:t>np</w:t>
      </w:r>
      <w:r w:rsidRPr="005A6A0C">
        <w:rPr>
          <w:rFonts w:ascii="Georgia" w:hAnsi="Georgia"/>
          <w:szCs w:val="24"/>
        </w:rPr>
        <w:t xml:space="preserve"> puis en fonction de la constante d’appariement neutron-neutron G</w:t>
      </w:r>
      <w:r w:rsidRPr="005A6A0C">
        <w:rPr>
          <w:rFonts w:ascii="Georgia" w:hAnsi="Georgia"/>
          <w:szCs w:val="24"/>
          <w:vertAlign w:val="subscript"/>
        </w:rPr>
        <w:t xml:space="preserve">nn </w:t>
      </w:r>
      <w:r w:rsidRPr="005A6A0C">
        <w:rPr>
          <w:rFonts w:ascii="Georgia" w:hAnsi="Georgia"/>
          <w:szCs w:val="24"/>
        </w:rPr>
        <w:t xml:space="preserve">pour un ensemble de noyaux tels que N </w:t>
      </w:r>
      <w:r w:rsidRPr="005A6A0C">
        <w:rPr>
          <w:rFonts w:ascii="Georgia" w:hAnsi="Georgia" w:cs="Georgia"/>
          <w:szCs w:val="24"/>
        </w:rPr>
        <w:t>-</w:t>
      </w:r>
      <w:r w:rsidRPr="005A6A0C">
        <w:rPr>
          <w:rFonts w:ascii="Georgia" w:hAnsi="Georgia"/>
          <w:szCs w:val="24"/>
        </w:rPr>
        <w:t xml:space="preserve"> Z = 2 et N </w:t>
      </w:r>
      <w:r w:rsidRPr="005A6A0C">
        <w:rPr>
          <w:rFonts w:ascii="Georgia" w:hAnsi="Georgia" w:cs="Georgia"/>
          <w:szCs w:val="24"/>
        </w:rPr>
        <w:t>-</w:t>
      </w:r>
      <w:r w:rsidRPr="005A6A0C">
        <w:rPr>
          <w:rFonts w:ascii="Georgia" w:hAnsi="Georgia"/>
          <w:szCs w:val="24"/>
        </w:rPr>
        <w:t xml:space="preserve"> Z = 4 pour le noyau père: Le</w:t>
      </w:r>
    </w:p>
    <w:p w:rsidR="00A34E09" w:rsidRPr="005A6A0C" w:rsidRDefault="00A34E09" w:rsidP="00A34E09">
      <w:pPr>
        <w:rPr>
          <w:rFonts w:ascii="Georgia" w:hAnsi="Georgia"/>
          <w:szCs w:val="24"/>
        </w:rPr>
      </w:pPr>
      <w:r w:rsidRPr="005A6A0C">
        <w:rPr>
          <w:rFonts w:ascii="Georgia" w:hAnsi="Georgia"/>
          <w:szCs w:val="24"/>
        </w:rPr>
        <w:t>comportement de &lt;T</w:t>
      </w:r>
      <w:r w:rsidRPr="005A6A0C">
        <w:rPr>
          <w:rFonts w:ascii="Georgia" w:hAnsi="Georgia"/>
          <w:szCs w:val="24"/>
          <w:vertAlign w:val="superscript"/>
        </w:rPr>
        <w:t>+</w:t>
      </w:r>
      <w:r w:rsidRPr="005A6A0C">
        <w:rPr>
          <w:rFonts w:ascii="Georgia" w:hAnsi="Georgia"/>
          <w:szCs w:val="24"/>
        </w:rPr>
        <w:t>T</w:t>
      </w:r>
      <w:r w:rsidRPr="005A6A0C">
        <w:rPr>
          <w:rFonts w:ascii="Georgia" w:hAnsi="Georgia"/>
          <w:szCs w:val="24"/>
          <w:vertAlign w:val="superscript"/>
        </w:rPr>
        <w:t>+</w:t>
      </w:r>
      <w:r w:rsidRPr="005A6A0C">
        <w:rPr>
          <w:rFonts w:ascii="Georgia" w:hAnsi="Georgia"/>
          <w:szCs w:val="24"/>
        </w:rPr>
        <w:t>&gt; en fonction de G</w:t>
      </w:r>
      <w:r w:rsidRPr="005A6A0C">
        <w:rPr>
          <w:rFonts w:ascii="Georgia" w:hAnsi="Georgia"/>
          <w:szCs w:val="24"/>
          <w:vertAlign w:val="subscript"/>
        </w:rPr>
        <w:t>np</w:t>
      </w:r>
      <w:r w:rsidRPr="005A6A0C">
        <w:rPr>
          <w:rFonts w:ascii="Georgia" w:hAnsi="Georgia"/>
          <w:szCs w:val="24"/>
        </w:rPr>
        <w:t xml:space="preserve"> et G</w:t>
      </w:r>
      <w:r w:rsidRPr="005A6A0C">
        <w:rPr>
          <w:rFonts w:ascii="Georgia" w:hAnsi="Georgia"/>
          <w:szCs w:val="24"/>
          <w:vertAlign w:val="subscript"/>
        </w:rPr>
        <w:t>nn</w:t>
      </w:r>
      <w:r w:rsidRPr="005A6A0C">
        <w:rPr>
          <w:rFonts w:ascii="Georgia" w:hAnsi="Georgia"/>
          <w:szCs w:val="24"/>
        </w:rPr>
        <w:t xml:space="preserve"> a été expliqué par celui des trois</w:t>
      </w:r>
    </w:p>
    <w:p w:rsidR="00A34E09" w:rsidRPr="005A6A0C" w:rsidRDefault="00A34E09" w:rsidP="00A34E09">
      <w:pPr>
        <w:rPr>
          <w:rFonts w:ascii="Georgia" w:hAnsi="Georgia"/>
          <w:szCs w:val="24"/>
        </w:rPr>
      </w:pPr>
      <w:proofErr w:type="gramStart"/>
      <w:r w:rsidRPr="005A6A0C">
        <w:rPr>
          <w:rFonts w:ascii="Georgia" w:hAnsi="Georgia"/>
          <w:szCs w:val="24"/>
        </w:rPr>
        <w:t>paramètres</w:t>
      </w:r>
      <w:proofErr w:type="gramEnd"/>
      <w:r w:rsidRPr="005A6A0C">
        <w:rPr>
          <w:rFonts w:ascii="Georgia" w:hAnsi="Georgia"/>
          <w:szCs w:val="24"/>
        </w:rPr>
        <w:t xml:space="preserve"> du gap ∆</w:t>
      </w:r>
      <w:r w:rsidRPr="005A6A0C">
        <w:rPr>
          <w:rFonts w:ascii="Georgia" w:hAnsi="Georgia"/>
          <w:szCs w:val="24"/>
          <w:vertAlign w:val="subscript"/>
        </w:rPr>
        <w:t>nn</w:t>
      </w:r>
      <w:r w:rsidRPr="005A6A0C">
        <w:rPr>
          <w:rFonts w:ascii="Georgia" w:hAnsi="Georgia"/>
          <w:szCs w:val="24"/>
        </w:rPr>
        <w:t>, ∆</w:t>
      </w:r>
      <w:r w:rsidRPr="005A6A0C">
        <w:rPr>
          <w:rFonts w:ascii="Georgia" w:hAnsi="Georgia"/>
          <w:szCs w:val="24"/>
          <w:vertAlign w:val="subscript"/>
        </w:rPr>
        <w:t>pp</w:t>
      </w:r>
      <w:r w:rsidRPr="005A6A0C">
        <w:rPr>
          <w:rFonts w:ascii="Georgia" w:hAnsi="Georgia"/>
          <w:szCs w:val="24"/>
        </w:rPr>
        <w:t xml:space="preserve"> et ∆</w:t>
      </w:r>
      <w:r w:rsidRPr="005A6A0C">
        <w:rPr>
          <w:rFonts w:ascii="Georgia" w:hAnsi="Georgia"/>
          <w:szCs w:val="24"/>
          <w:vertAlign w:val="subscript"/>
        </w:rPr>
        <w:t>np</w:t>
      </w:r>
      <w:r w:rsidRPr="005A6A0C">
        <w:rPr>
          <w:rFonts w:ascii="Georgia" w:hAnsi="Georgia"/>
          <w:szCs w:val="24"/>
        </w:rPr>
        <w:t xml:space="preserve"> du noyau père et du noyau </w:t>
      </w:r>
      <w:r w:rsidR="005A6A0C" w:rsidRPr="005A6A0C">
        <w:rPr>
          <w:rFonts w:ascii="Georgia" w:hAnsi="Georgia" w:cs="Georgia"/>
          <w:szCs w:val="24"/>
        </w:rPr>
        <w:t>fi</w:t>
      </w:r>
      <w:r w:rsidRPr="005A6A0C">
        <w:rPr>
          <w:rFonts w:ascii="Georgia" w:hAnsi="Georgia"/>
          <w:szCs w:val="24"/>
        </w:rPr>
        <w:t>ls.</w:t>
      </w:r>
    </w:p>
    <w:p w:rsidR="00A34E09" w:rsidRPr="005A6A0C" w:rsidRDefault="00A34E09" w:rsidP="00A34E09">
      <w:pPr>
        <w:rPr>
          <w:rFonts w:ascii="Georgia" w:hAnsi="Georgia"/>
          <w:szCs w:val="24"/>
        </w:rPr>
      </w:pPr>
      <w:r w:rsidRPr="005A6A0C">
        <w:rPr>
          <w:rFonts w:ascii="Georgia" w:hAnsi="Georgia"/>
          <w:szCs w:val="24"/>
        </w:rPr>
        <w:t>En outre, il apparait que l</w:t>
      </w:r>
      <w:r w:rsidR="005A6A0C" w:rsidRPr="005A6A0C">
        <w:rPr>
          <w:rFonts w:ascii="Georgia" w:hAnsi="Georgia"/>
          <w:szCs w:val="24"/>
        </w:rPr>
        <w:t>’</w:t>
      </w:r>
      <w:r w:rsidRPr="005A6A0C">
        <w:rPr>
          <w:rFonts w:ascii="Georgia" w:hAnsi="Georgia"/>
          <w:szCs w:val="24"/>
        </w:rPr>
        <w:t>e</w:t>
      </w:r>
      <w:r w:rsidR="005A6A0C" w:rsidRPr="005A6A0C">
        <w:rPr>
          <w:rFonts w:ascii="Georgia" w:hAnsi="Georgia" w:cs="Calibri"/>
          <w:szCs w:val="24"/>
        </w:rPr>
        <w:t>ff</w:t>
      </w:r>
      <w:r w:rsidRPr="005A6A0C">
        <w:rPr>
          <w:rFonts w:ascii="Georgia" w:hAnsi="Georgia"/>
          <w:szCs w:val="24"/>
        </w:rPr>
        <w:t>et de l</w:t>
      </w:r>
      <w:r w:rsidR="005A6A0C" w:rsidRPr="005A6A0C">
        <w:rPr>
          <w:rFonts w:ascii="Georgia" w:hAnsi="Georgia"/>
          <w:szCs w:val="24"/>
        </w:rPr>
        <w:t>’</w:t>
      </w:r>
      <w:r w:rsidRPr="005A6A0C">
        <w:rPr>
          <w:rFonts w:ascii="Georgia" w:hAnsi="Georgia"/>
          <w:szCs w:val="24"/>
        </w:rPr>
        <w:t xml:space="preserve">appariement isovectoriel sur </w:t>
      </w:r>
      <w:r w:rsidR="005A6A0C" w:rsidRPr="005A6A0C">
        <w:rPr>
          <w:rFonts w:ascii="Georgia" w:hAnsi="Georgia"/>
          <w:szCs w:val="24"/>
        </w:rPr>
        <w:t>&lt;T</w:t>
      </w:r>
      <w:r w:rsidR="005A6A0C" w:rsidRPr="005A6A0C">
        <w:rPr>
          <w:rFonts w:ascii="Georgia" w:hAnsi="Georgia"/>
          <w:szCs w:val="24"/>
          <w:vertAlign w:val="superscript"/>
        </w:rPr>
        <w:t>+</w:t>
      </w:r>
      <w:r w:rsidR="005A6A0C" w:rsidRPr="005A6A0C">
        <w:rPr>
          <w:rFonts w:ascii="Georgia" w:hAnsi="Georgia"/>
          <w:szCs w:val="24"/>
        </w:rPr>
        <w:t>T</w:t>
      </w:r>
      <w:r w:rsidR="005A6A0C" w:rsidRPr="005A6A0C">
        <w:rPr>
          <w:rFonts w:ascii="Georgia" w:hAnsi="Georgia"/>
          <w:szCs w:val="24"/>
          <w:vertAlign w:val="superscript"/>
        </w:rPr>
        <w:t>+</w:t>
      </w:r>
      <w:r w:rsidR="005A6A0C" w:rsidRPr="005A6A0C">
        <w:rPr>
          <w:rFonts w:ascii="Georgia" w:hAnsi="Georgia"/>
          <w:szCs w:val="24"/>
        </w:rPr>
        <w:t xml:space="preserve">&gt; </w:t>
      </w:r>
      <w:r w:rsidRPr="005A6A0C">
        <w:rPr>
          <w:rFonts w:ascii="Georgia" w:hAnsi="Georgia"/>
          <w:szCs w:val="24"/>
        </w:rPr>
        <w:t>est non-</w:t>
      </w:r>
    </w:p>
    <w:p w:rsidR="00A34E09" w:rsidRPr="005A6A0C" w:rsidRDefault="00A34E09" w:rsidP="00A34E09">
      <w:pPr>
        <w:rPr>
          <w:rFonts w:ascii="Georgia" w:hAnsi="Georgia"/>
          <w:szCs w:val="24"/>
        </w:rPr>
      </w:pPr>
      <w:r w:rsidRPr="005A6A0C">
        <w:rPr>
          <w:rFonts w:ascii="Georgia" w:hAnsi="Georgia"/>
          <w:szCs w:val="24"/>
        </w:rPr>
        <w:t>négligeable et qu</w:t>
      </w:r>
      <w:r w:rsidR="005A6A0C" w:rsidRPr="005A6A0C">
        <w:rPr>
          <w:rFonts w:ascii="Georgia" w:hAnsi="Georgia"/>
          <w:szCs w:val="24"/>
        </w:rPr>
        <w:t>’</w:t>
      </w:r>
      <w:r w:rsidRPr="005A6A0C">
        <w:rPr>
          <w:rFonts w:ascii="Georgia" w:hAnsi="Georgia"/>
          <w:szCs w:val="24"/>
        </w:rPr>
        <w:t>il d</w:t>
      </w:r>
      <w:r w:rsidRPr="005A6A0C">
        <w:rPr>
          <w:rFonts w:ascii="Georgia" w:hAnsi="Georgia" w:cs="Calibri"/>
          <w:szCs w:val="24"/>
        </w:rPr>
        <w:t>é</w:t>
      </w:r>
      <w:r w:rsidRPr="005A6A0C">
        <w:rPr>
          <w:rFonts w:ascii="Georgia" w:hAnsi="Georgia"/>
          <w:szCs w:val="24"/>
        </w:rPr>
        <w:t>cro</w:t>
      </w:r>
      <w:r w:rsidRPr="005A6A0C">
        <w:rPr>
          <w:rFonts w:ascii="Georgia" w:hAnsi="Georgia" w:cs="Calibri"/>
          <w:szCs w:val="24"/>
        </w:rPr>
        <w:t>î</w:t>
      </w:r>
      <w:r w:rsidRPr="005A6A0C">
        <w:rPr>
          <w:rFonts w:ascii="Georgia" w:hAnsi="Georgia"/>
          <w:szCs w:val="24"/>
        </w:rPr>
        <w:t xml:space="preserve">t en fonction de (N </w:t>
      </w:r>
      <w:r w:rsidR="005A6A0C" w:rsidRPr="005A6A0C">
        <w:rPr>
          <w:rFonts w:ascii="Georgia" w:hAnsi="Georgia" w:cs="Georgia"/>
          <w:szCs w:val="24"/>
        </w:rPr>
        <w:t>-</w:t>
      </w:r>
      <w:r w:rsidRPr="005A6A0C">
        <w:rPr>
          <w:rFonts w:ascii="Georgia" w:hAnsi="Georgia"/>
          <w:szCs w:val="24"/>
        </w:rPr>
        <w:t xml:space="preserve"> Z): De plus, une grande sensibilité des</w:t>
      </w:r>
    </w:p>
    <w:p w:rsidR="00A34E09" w:rsidRPr="005A6A0C" w:rsidRDefault="005A6A0C" w:rsidP="00A34E09">
      <w:pPr>
        <w:rPr>
          <w:rFonts w:ascii="Georgia" w:hAnsi="Georgia"/>
          <w:szCs w:val="24"/>
        </w:rPr>
      </w:pPr>
      <w:r w:rsidRPr="005A6A0C">
        <w:rPr>
          <w:rFonts w:ascii="Georgia" w:hAnsi="Georgia"/>
          <w:noProof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C482C0B" wp14:editId="07CE83DB">
                <wp:simplePos x="0" y="0"/>
                <wp:positionH relativeFrom="column">
                  <wp:posOffset>14605</wp:posOffset>
                </wp:positionH>
                <wp:positionV relativeFrom="paragraph">
                  <wp:posOffset>612775</wp:posOffset>
                </wp:positionV>
                <wp:extent cx="2428875" cy="0"/>
                <wp:effectExtent l="0" t="0" r="9525" b="19050"/>
                <wp:wrapNone/>
                <wp:docPr id="4" name="Connecteur droit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42887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necteur droit 4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.15pt,48.25pt" to="192.4pt,4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" strokecolor="black [3040]"/>
            </w:pict>
          </mc:Fallback>
        </mc:AlternateContent>
      </w:r>
      <w:r w:rsidR="00A34E09" w:rsidRPr="005A6A0C">
        <w:rPr>
          <w:rFonts w:ascii="Georgia" w:hAnsi="Georgia"/>
          <w:szCs w:val="24"/>
        </w:rPr>
        <w:t xml:space="preserve">éléments de matrice de </w:t>
      </w:r>
      <w:proofErr w:type="gramStart"/>
      <w:r w:rsidR="00A34E09" w:rsidRPr="005A6A0C">
        <w:rPr>
          <w:rFonts w:ascii="Georgia" w:hAnsi="Georgia"/>
          <w:szCs w:val="24"/>
        </w:rPr>
        <w:t>double désintégration</w:t>
      </w:r>
      <w:proofErr w:type="gramEnd"/>
      <w:r w:rsidR="00A34E09" w:rsidRPr="005A6A0C">
        <w:rPr>
          <w:rFonts w:ascii="Georgia" w:hAnsi="Georgia"/>
          <w:szCs w:val="24"/>
        </w:rPr>
        <w:t xml:space="preserve"> bêta aux valeurs des constantes d</w:t>
      </w:r>
      <w:r w:rsidRPr="005A6A0C">
        <w:rPr>
          <w:rFonts w:ascii="Georgia" w:hAnsi="Georgia"/>
          <w:szCs w:val="24"/>
        </w:rPr>
        <w:t>’</w:t>
      </w:r>
      <w:r w:rsidR="00A34E09" w:rsidRPr="005A6A0C">
        <w:rPr>
          <w:rFonts w:ascii="Georgia" w:hAnsi="Georgia"/>
          <w:szCs w:val="24"/>
        </w:rPr>
        <w:t>appariement a été constatée. Un choix minutieux de G</w:t>
      </w:r>
      <w:r w:rsidR="00A34E09" w:rsidRPr="005A6A0C">
        <w:rPr>
          <w:rFonts w:ascii="Georgia" w:hAnsi="Georgia"/>
          <w:szCs w:val="24"/>
          <w:vertAlign w:val="subscript"/>
        </w:rPr>
        <w:t>nn</w:t>
      </w:r>
      <w:r w:rsidR="00A34E09" w:rsidRPr="005A6A0C">
        <w:rPr>
          <w:rFonts w:ascii="Georgia" w:hAnsi="Georgia"/>
          <w:szCs w:val="24"/>
        </w:rPr>
        <w:t>; G</w:t>
      </w:r>
      <w:r w:rsidR="00A34E09" w:rsidRPr="005A6A0C">
        <w:rPr>
          <w:rFonts w:ascii="Georgia" w:hAnsi="Georgia"/>
          <w:szCs w:val="24"/>
          <w:vertAlign w:val="subscript"/>
        </w:rPr>
        <w:t>pp</w:t>
      </w:r>
      <w:r w:rsidR="00A34E09" w:rsidRPr="005A6A0C">
        <w:rPr>
          <w:rFonts w:ascii="Georgia" w:hAnsi="Georgia"/>
          <w:szCs w:val="24"/>
        </w:rPr>
        <w:t xml:space="preserve"> et G</w:t>
      </w:r>
      <w:r w:rsidR="00A34E09" w:rsidRPr="005A6A0C">
        <w:rPr>
          <w:rFonts w:ascii="Georgia" w:hAnsi="Georgia"/>
          <w:szCs w:val="24"/>
          <w:vertAlign w:val="subscript"/>
        </w:rPr>
        <w:t>np</w:t>
      </w:r>
      <w:r w:rsidR="00A34E09" w:rsidRPr="005A6A0C">
        <w:rPr>
          <w:rFonts w:ascii="Georgia" w:hAnsi="Georgia"/>
          <w:szCs w:val="24"/>
        </w:rPr>
        <w:t xml:space="preserve"> serait donc nécessaire dans</w:t>
      </w:r>
      <w:r w:rsidRPr="005A6A0C">
        <w:rPr>
          <w:rFonts w:ascii="Georgia" w:hAnsi="Georgia"/>
          <w:szCs w:val="24"/>
        </w:rPr>
        <w:t xml:space="preserve"> </w:t>
      </w:r>
      <w:r w:rsidR="00A34E09" w:rsidRPr="005A6A0C">
        <w:rPr>
          <w:rFonts w:ascii="Georgia" w:hAnsi="Georgia"/>
          <w:szCs w:val="24"/>
        </w:rPr>
        <w:t>le cadre d</w:t>
      </w:r>
      <w:r w:rsidRPr="005A6A0C">
        <w:rPr>
          <w:rFonts w:ascii="Georgia" w:hAnsi="Georgia"/>
          <w:szCs w:val="24"/>
        </w:rPr>
        <w:t>’</w:t>
      </w:r>
      <w:r w:rsidR="00A34E09" w:rsidRPr="005A6A0C">
        <w:rPr>
          <w:rFonts w:ascii="Georgia" w:hAnsi="Georgia"/>
          <w:szCs w:val="24"/>
        </w:rPr>
        <w:t xml:space="preserve">une </w:t>
      </w:r>
      <w:r w:rsidR="00A34E09" w:rsidRPr="005A6A0C">
        <w:rPr>
          <w:rFonts w:ascii="Georgia" w:hAnsi="Georgia" w:cs="Calibri"/>
          <w:szCs w:val="24"/>
        </w:rPr>
        <w:t>é</w:t>
      </w:r>
      <w:r w:rsidR="00A34E09" w:rsidRPr="005A6A0C">
        <w:rPr>
          <w:rFonts w:ascii="Georgia" w:hAnsi="Georgia"/>
          <w:szCs w:val="24"/>
        </w:rPr>
        <w:t>tude r</w:t>
      </w:r>
      <w:r w:rsidR="00A34E09" w:rsidRPr="005A6A0C">
        <w:rPr>
          <w:rFonts w:ascii="Georgia" w:hAnsi="Georgia" w:cs="Calibri"/>
          <w:szCs w:val="24"/>
        </w:rPr>
        <w:t>é</w:t>
      </w:r>
      <w:r w:rsidR="00A34E09" w:rsidRPr="005A6A0C">
        <w:rPr>
          <w:rFonts w:ascii="Georgia" w:hAnsi="Georgia"/>
          <w:szCs w:val="24"/>
        </w:rPr>
        <w:t>aliste.</w:t>
      </w:r>
    </w:p>
    <w:p w:rsidR="00A34E09" w:rsidRPr="005A6A0C" w:rsidRDefault="00A34E09" w:rsidP="005A6A0C">
      <w:pPr>
        <w:pStyle w:val="Paragraphedeliste"/>
        <w:numPr>
          <w:ilvl w:val="0"/>
          <w:numId w:val="1"/>
        </w:numPr>
        <w:rPr>
          <w:rFonts w:ascii="Georgia" w:hAnsi="Georgia"/>
          <w:szCs w:val="24"/>
        </w:rPr>
      </w:pPr>
      <w:r w:rsidRPr="005A6A0C">
        <w:rPr>
          <w:rFonts w:ascii="Georgia" w:hAnsi="Georgia"/>
          <w:szCs w:val="24"/>
        </w:rPr>
        <w:t>Mémoire de Magister</w:t>
      </w:r>
    </w:p>
    <w:p w:rsidR="00B60221" w:rsidRPr="005A6A0C" w:rsidRDefault="00A34E09" w:rsidP="005A6A0C">
      <w:pPr>
        <w:pStyle w:val="Paragraphedeliste"/>
        <w:numPr>
          <w:ilvl w:val="0"/>
          <w:numId w:val="2"/>
        </w:numPr>
        <w:rPr>
          <w:rFonts w:ascii="Georgia" w:hAnsi="Georgia"/>
          <w:szCs w:val="24"/>
        </w:rPr>
      </w:pPr>
      <w:r w:rsidRPr="005A6A0C">
        <w:rPr>
          <w:rFonts w:ascii="Georgia" w:hAnsi="Georgia"/>
          <w:szCs w:val="24"/>
        </w:rPr>
        <w:t>Directrice de thèse : Pr. N. H. ALLAL, Laboratoire de Physique Théorique, USTHB</w:t>
      </w:r>
    </w:p>
    <w:sectPr w:rsidR="00B60221" w:rsidRPr="005A6A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8.25pt;height:11.25pt;visibility:visible;mso-wrap-style:square" o:bullet="t">
        <v:imagedata r:id="rId1" o:title=""/>
      </v:shape>
    </w:pict>
  </w:numPicBullet>
  <w:numPicBullet w:numPicBulletId="1">
    <w:pict>
      <v:shape id="_x0000_i1029" type="#_x0000_t75" style="width:8.25pt;height:13.5pt;visibility:visible;mso-wrap-style:square" o:bullet="t">
        <v:imagedata r:id="rId2" o:title=""/>
      </v:shape>
    </w:pict>
  </w:numPicBullet>
  <w:abstractNum w:abstractNumId="0">
    <w:nsid w:val="2D7F2D0B"/>
    <w:multiLevelType w:val="hybridMultilevel"/>
    <w:tmpl w:val="8A36BE82"/>
    <w:lvl w:ilvl="0" w:tplc="39480D9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31C4FF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590A8F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EC223D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1C28C4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FE867F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8D8B1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D7E1EE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BB6659E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">
    <w:nsid w:val="44F05C58"/>
    <w:multiLevelType w:val="hybridMultilevel"/>
    <w:tmpl w:val="A9E8BE02"/>
    <w:lvl w:ilvl="0" w:tplc="09DEEC38">
      <w:start w:val="1"/>
      <w:numFmt w:val="bullet"/>
      <w:lvlText w:val=""/>
      <w:lvlPicBulletId w:val="1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104254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C6ECDF50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A44F70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404969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DAC398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578BD5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082C9D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E8A89A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4E09"/>
    <w:rsid w:val="00095123"/>
    <w:rsid w:val="00156015"/>
    <w:rsid w:val="00205937"/>
    <w:rsid w:val="00205CF9"/>
    <w:rsid w:val="00294934"/>
    <w:rsid w:val="00364267"/>
    <w:rsid w:val="003645E6"/>
    <w:rsid w:val="003A7154"/>
    <w:rsid w:val="0042135E"/>
    <w:rsid w:val="004A6DC9"/>
    <w:rsid w:val="005A6A0C"/>
    <w:rsid w:val="0061573F"/>
    <w:rsid w:val="008329D0"/>
    <w:rsid w:val="008D7CAF"/>
    <w:rsid w:val="00A23DA7"/>
    <w:rsid w:val="00A34E09"/>
    <w:rsid w:val="00A7209C"/>
    <w:rsid w:val="00B17081"/>
    <w:rsid w:val="00B60221"/>
    <w:rsid w:val="00B62B15"/>
    <w:rsid w:val="00C3628B"/>
    <w:rsid w:val="00D166CC"/>
    <w:rsid w:val="00E046C3"/>
    <w:rsid w:val="00E06E0D"/>
    <w:rsid w:val="00ED1A3B"/>
    <w:rsid w:val="00F630A8"/>
    <w:rsid w:val="00FE07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A34E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34E09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5A6A0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A34E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34E09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5A6A0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3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371</Words>
  <Characters>2046</Characters>
  <Application>Microsoft Office Word</Application>
  <DocSecurity>0</DocSecurity>
  <Lines>17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Nemesis</dc:creator>
  <cp:lastModifiedBy>Nemesis</cp:lastModifiedBy>
  <cp:revision>2</cp:revision>
  <dcterms:created xsi:type="dcterms:W3CDTF">2012-10-02T13:21:00Z</dcterms:created>
  <dcterms:modified xsi:type="dcterms:W3CDTF">2012-10-03T12:16:00Z</dcterms:modified>
</cp:coreProperties>
</file>