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5871" w:rsidRPr="008A5871" w:rsidRDefault="008A5871" w:rsidP="008A5871">
      <w:pPr>
        <w:bidi w:val="0"/>
        <w:rPr>
          <w:lang w:val="fr-FR" w:bidi="ar-DZ"/>
        </w:rPr>
      </w:pPr>
      <w:r w:rsidRPr="008A5871">
        <w:rPr>
          <w:lang w:val="fr-FR" w:bidi="ar-DZ"/>
        </w:rPr>
        <w:t>Le travail réalisé dans cette étude de la distribution planétaire du champ d'anomalies magnétiques porte sur l'analyse spectrale des différents champs lithosphériques. Ce champ est le résultat de la compilation de l'ensemble des levés parcellaires magnétiques marins, aéroportés et satellitaires existants à l'échelle planétaire. Ce projet a été initié dans le cadre du programme international de l'UNESCO pour la cartographie numérique globale de la lithosphère.  Le "Word Digital Magnetic Anomaly Map" (WDMAM) est un des volets importants. Une carte des anomalies magnétiques a été ainsi établie à 5km d'altitude sur une grille mondiale de 5km*5km. Cette carte représente correctement les très courtes longueurs d'onde du champ (&lt;400km). Pour représenter l'ensemble du contenu spectral du champ lithosphérique, les grandes longueurs d'onde (&gt;400km) du signal ont été restituées en utilisant le champ lithosphérique déduit des données du satellite magnétique allemand CHAMP.</w:t>
      </w:r>
    </w:p>
    <w:p w:rsidR="00F66AEE" w:rsidRPr="008A5871" w:rsidRDefault="008A5871" w:rsidP="008A5871">
      <w:pPr>
        <w:bidi w:val="0"/>
        <w:rPr>
          <w:rFonts w:hint="cs"/>
          <w:lang w:val="fr-FR" w:bidi="ar-DZ"/>
        </w:rPr>
      </w:pPr>
      <w:r w:rsidRPr="008A5871">
        <w:rPr>
          <w:lang w:val="fr-FR" w:bidi="ar-DZ"/>
        </w:rPr>
        <w:t>L'analyse spectrale sur la sphère est un outil mathématique puissant qui permet de caractériser les différentes sources de ce champ d'anomalies. Pour cela, nous avons opté pour la décomposition en harmoniques sphériques. Le développement, vu sous l'aspect de problème inverse, a porté sur des degrés et ordres allant jusqu'à 200. Pour la résolution du problème inverse nous avons adopté la méthode du gradient avec ses différentes variantes. Pour les données du champ magnétique lithosphérique, nous nous sommes intéressés aux deux versions proposées par les auteurs du WDMAM. Le spectre d'énergie des 2 champs montre une grande cohérence entre les deux jeux de données. La différence est liée à l'incorporation du modèle magnétique de croûte océanique dans l'un des champs. La décomposition en harmoniques sphériques présentant de multiples intérêts, entre autres, quantifier les contributions des différentes sources au champ lithosphérique, nous avons alors recomposé le champ dans plusieurs intervalles d'harmoniques sphériques donnés et établi différentes cartes du champ d'anomalies lithosphérique. La densité très élevée des points de données ainsi que le nombre relativement important de coefficients harmoniques nécessaire à cette étude imposent des moyens de calculs très performants et des temps calculs très longs, pouvant durer plus de 172 h CPU. Les conditions locales sont souvent très limitatives</w:t>
      </w:r>
    </w:p>
    <w:sectPr w:rsidR="00F66AEE" w:rsidRPr="008A5871"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8A5871"/>
    <w:rsid w:val="006D5754"/>
    <w:rsid w:val="008A5871"/>
    <w:rsid w:val="00F66AE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6AEE"/>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356</Words>
  <Characters>2033</Characters>
  <Application>Microsoft Office Word</Application>
  <DocSecurity>0</DocSecurity>
  <Lines>16</Lines>
  <Paragraphs>4</Paragraphs>
  <ScaleCrop>false</ScaleCrop>
  <Company/>
  <LinksUpToDate>false</LinksUpToDate>
  <CharactersWithSpaces>2385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2014-11-24T09:11:00Z</dcterms:created>
  <dcterms:modified xsi:type="dcterms:W3CDTF">2014-11-24T09:12:00Z</dcterms:modified>
</cp:coreProperties>
</file>