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7E4" w:rsidRDefault="006247E4" w:rsidP="006247E4">
      <w:pPr>
        <w:pStyle w:val="Titre3"/>
        <w:jc w:val="center"/>
      </w:pPr>
      <w:r>
        <w:t>Résumé</w:t>
      </w:r>
    </w:p>
    <w:p w:rsidR="006247E4" w:rsidRDefault="006247E4" w:rsidP="006247E4">
      <w:pPr>
        <w:pStyle w:val="Retraitcorpsdetexte"/>
        <w:tabs>
          <w:tab w:val="num" w:pos="0"/>
        </w:tabs>
        <w:spacing w:line="276" w:lineRule="auto"/>
        <w:ind w:left="0"/>
        <w:jc w:val="center"/>
        <w:rPr>
          <w:rFonts w:ascii="Arial Narrow" w:hAnsi="Arial Narrow" w:cstheme="majorBidi"/>
          <w:b/>
          <w:bCs/>
          <w:sz w:val="26"/>
          <w:szCs w:val="26"/>
        </w:rPr>
      </w:pPr>
    </w:p>
    <w:p w:rsidR="006247E4" w:rsidRDefault="006247E4" w:rsidP="006247E4">
      <w:pPr>
        <w:widowControl w:val="0"/>
        <w:spacing w:line="276" w:lineRule="auto"/>
        <w:ind w:firstLine="567"/>
        <w:jc w:val="both"/>
        <w:rPr>
          <w:rFonts w:ascii="Arial Narrow" w:hAnsi="Arial Narrow" w:cstheme="majorBidi"/>
          <w:sz w:val="26"/>
          <w:szCs w:val="26"/>
        </w:rPr>
      </w:pPr>
      <w:r>
        <w:rPr>
          <w:rFonts w:ascii="Arial Narrow" w:hAnsi="Arial Narrow" w:cstheme="majorBidi"/>
          <w:b/>
          <w:bCs/>
          <w:sz w:val="26"/>
          <w:szCs w:val="26"/>
        </w:rPr>
        <w:t>L</w:t>
      </w:r>
      <w:r>
        <w:rPr>
          <w:rFonts w:ascii="Arial Narrow" w:hAnsi="Arial Narrow" w:cstheme="majorBidi"/>
          <w:sz w:val="26"/>
          <w:szCs w:val="26"/>
        </w:rPr>
        <w:t xml:space="preserve">e diabète de type 1 (DT1),  est une maladie auto-immune spécifique d’organes déclenchée par un ou plusieurs facteurs liés à l’environnement qui survient chez un sujet génétiquement prédisposé. Il résulte de la destruction sélective des cellules </w:t>
      </w:r>
      <w:r>
        <w:rPr>
          <w:rFonts w:ascii="Arial Narrow" w:hAnsi="Arial Narrow" w:cstheme="majorBidi"/>
          <w:sz w:val="26"/>
          <w:szCs w:val="26"/>
        </w:rPr>
        <w:sym w:font="Symbol" w:char="0062"/>
      </w:r>
      <w:r>
        <w:rPr>
          <w:rFonts w:ascii="Arial Narrow" w:hAnsi="Arial Narrow" w:cstheme="majorBidi"/>
          <w:sz w:val="26"/>
          <w:szCs w:val="26"/>
        </w:rPr>
        <w:t xml:space="preserve"> des îlots de </w:t>
      </w:r>
      <w:proofErr w:type="spellStart"/>
      <w:r>
        <w:rPr>
          <w:rFonts w:ascii="Arial Narrow" w:hAnsi="Arial Narrow" w:cstheme="majorBidi"/>
          <w:sz w:val="26"/>
          <w:szCs w:val="26"/>
        </w:rPr>
        <w:t>Langerhans</w:t>
      </w:r>
      <w:proofErr w:type="spellEnd"/>
      <w:r>
        <w:rPr>
          <w:rFonts w:ascii="Arial Narrow" w:hAnsi="Arial Narrow" w:cstheme="majorBidi"/>
          <w:sz w:val="26"/>
          <w:szCs w:val="26"/>
        </w:rPr>
        <w:t xml:space="preserve"> avec, comme conséquence, une </w:t>
      </w:r>
      <w:proofErr w:type="spellStart"/>
      <w:r>
        <w:rPr>
          <w:rFonts w:ascii="Arial Narrow" w:hAnsi="Arial Narrow" w:cstheme="majorBidi"/>
          <w:sz w:val="26"/>
          <w:szCs w:val="26"/>
        </w:rPr>
        <w:t>insulinopénie</w:t>
      </w:r>
      <w:proofErr w:type="spellEnd"/>
      <w:r>
        <w:rPr>
          <w:rFonts w:ascii="Arial Narrow" w:hAnsi="Arial Narrow" w:cstheme="majorBidi"/>
          <w:sz w:val="26"/>
          <w:szCs w:val="26"/>
        </w:rPr>
        <w:t xml:space="preserve"> progressive se traduisant par une hyperglycémie permanente.</w:t>
      </w:r>
    </w:p>
    <w:p w:rsidR="006247E4" w:rsidRDefault="006247E4" w:rsidP="006247E4">
      <w:pPr>
        <w:spacing w:beforeLines="60" w:afterLines="60"/>
        <w:ind w:firstLine="567"/>
        <w:jc w:val="both"/>
        <w:rPr>
          <w:rFonts w:ascii="Arial Narrow" w:hAnsi="Arial Narrow" w:cstheme="majorBidi"/>
          <w:sz w:val="26"/>
          <w:szCs w:val="26"/>
        </w:rPr>
      </w:pPr>
      <w:r>
        <w:rPr>
          <w:rFonts w:ascii="Arial Narrow" w:hAnsi="Arial Narrow" w:cstheme="majorBidi"/>
          <w:b/>
          <w:bCs/>
          <w:sz w:val="26"/>
          <w:szCs w:val="26"/>
        </w:rPr>
        <w:t>L</w:t>
      </w:r>
      <w:r>
        <w:rPr>
          <w:rFonts w:ascii="Arial Narrow" w:hAnsi="Arial Narrow" w:cstheme="majorBidi"/>
          <w:sz w:val="26"/>
          <w:szCs w:val="26"/>
        </w:rPr>
        <w:t xml:space="preserve">a présente étude porte sur 169 sujets présentant un diabète auto-immun et comprenant (72 sujets diabétiques type 1 (juvéniles), </w:t>
      </w:r>
      <w:r>
        <w:rPr>
          <w:rFonts w:ascii="Arial Narrow" w:hAnsi="Arial Narrow" w:cstheme="majorBidi"/>
          <w:bCs/>
          <w:sz w:val="26"/>
          <w:szCs w:val="26"/>
        </w:rPr>
        <w:t xml:space="preserve">97 sujets diabétiques type LADA non apparentés et </w:t>
      </w:r>
      <w:r>
        <w:rPr>
          <w:rFonts w:ascii="Arial Narrow" w:hAnsi="Arial Narrow" w:cstheme="majorBidi"/>
          <w:sz w:val="26"/>
          <w:szCs w:val="26"/>
        </w:rPr>
        <w:t>252 sujets sains non apparentés, ne présentant aucune maladie chronique ou auto-immune et sans antécédents personnel et familial.  Le recrutement de l’ensemble des patients a été réalisé au niveau du service de diabétologie du CHU Mustapha, Alger selon les critères de L’ADA et de l’OMS</w:t>
      </w:r>
    </w:p>
    <w:p w:rsidR="006247E4" w:rsidRDefault="006247E4" w:rsidP="006247E4">
      <w:pPr>
        <w:autoSpaceDE w:val="0"/>
        <w:autoSpaceDN w:val="0"/>
        <w:adjustRightInd w:val="0"/>
        <w:spacing w:line="276" w:lineRule="auto"/>
        <w:ind w:firstLine="567"/>
        <w:jc w:val="both"/>
        <w:rPr>
          <w:rFonts w:ascii="Arial Narrow" w:hAnsi="Arial Narrow" w:cstheme="majorBidi"/>
          <w:sz w:val="26"/>
          <w:szCs w:val="26"/>
        </w:rPr>
      </w:pPr>
      <w:r>
        <w:rPr>
          <w:rFonts w:ascii="Arial Narrow" w:hAnsi="Arial Narrow" w:cstheme="majorBidi"/>
          <w:sz w:val="26"/>
          <w:szCs w:val="26"/>
        </w:rPr>
        <w:t xml:space="preserve">Nos résultats montrent   l’association des marqueurs HLA  de classe II -DR3, -DR4, -DQ2 et -DQ8 ainsi que les allèles HLA- DRB1*0301,*0405 -DQB1*0201 et *0302 et le DT1 avec comme fréquences respectives DR3 (66,67%,70% vs 31,43%), DR4 (48,89%, 52,50% vs 26,43%), DQ2 (66,67%, 75% vs 39,29%) et DQ8(3) (46,67%, 47,50% vs 19,29%) chez les juvéniles et LADA. </w:t>
      </w:r>
    </w:p>
    <w:p w:rsidR="006247E4" w:rsidRDefault="006247E4" w:rsidP="006247E4">
      <w:pPr>
        <w:autoSpaceDE w:val="0"/>
        <w:autoSpaceDN w:val="0"/>
        <w:adjustRightInd w:val="0"/>
        <w:spacing w:line="276" w:lineRule="auto"/>
        <w:ind w:firstLine="708"/>
        <w:jc w:val="both"/>
        <w:rPr>
          <w:rFonts w:ascii="Arial Narrow" w:hAnsi="Arial Narrow" w:cstheme="majorBidi"/>
          <w:sz w:val="26"/>
          <w:szCs w:val="26"/>
        </w:rPr>
      </w:pPr>
    </w:p>
    <w:p w:rsidR="006247E4" w:rsidRDefault="006247E4" w:rsidP="006247E4">
      <w:pPr>
        <w:autoSpaceDE w:val="0"/>
        <w:autoSpaceDN w:val="0"/>
        <w:adjustRightInd w:val="0"/>
        <w:spacing w:line="276" w:lineRule="auto"/>
        <w:ind w:firstLine="708"/>
        <w:jc w:val="both"/>
        <w:rPr>
          <w:rFonts w:ascii="Arial Narrow" w:hAnsi="Arial Narrow" w:cstheme="majorBidi"/>
          <w:sz w:val="26"/>
          <w:szCs w:val="26"/>
        </w:rPr>
      </w:pPr>
      <w:r>
        <w:rPr>
          <w:rFonts w:ascii="Arial Narrow" w:hAnsi="Arial Narrow" w:cstheme="majorBidi"/>
          <w:b/>
          <w:bCs/>
          <w:sz w:val="26"/>
          <w:szCs w:val="26"/>
        </w:rPr>
        <w:t>E</w:t>
      </w:r>
      <w:r>
        <w:rPr>
          <w:rFonts w:ascii="Arial Narrow" w:hAnsi="Arial Narrow" w:cstheme="majorBidi"/>
          <w:sz w:val="26"/>
          <w:szCs w:val="26"/>
        </w:rPr>
        <w:t xml:space="preserve">n revanche, les marqueurs HLA –DR5, -DR15, et -DQ6 sont des marqueurs de protection du DT1 dans la population algérienne dont les fréquences sont HLA –DR5 (0,0%, 0,0% vs </w:t>
      </w:r>
      <w:r>
        <w:rPr>
          <w:rFonts w:ascii="Arial Narrow" w:hAnsi="Arial Narrow" w:cstheme="majorBidi"/>
          <w:sz w:val="26"/>
          <w:szCs w:val="26"/>
          <w:lang w:val="de-DE"/>
        </w:rPr>
        <w:t>27,86</w:t>
      </w:r>
      <w:r>
        <w:rPr>
          <w:rFonts w:ascii="Arial Narrow" w:hAnsi="Arial Narrow" w:cstheme="majorBidi"/>
          <w:sz w:val="26"/>
          <w:szCs w:val="26"/>
        </w:rPr>
        <w:t xml:space="preserve">) HLA –DR15 (4,44%, 10% vs 15%,) HLA – DQ6 (13,33%, 12,5%  vs 32,86%) pour les juvéniles et les LADA respectivement. Cette association HLA est indépendante de l’association du polymorphisme fonctionnel du gène MICA129 dont le génotype MICA129val/val semble être un marqueur de susceptibilité </w:t>
      </w:r>
      <w:r>
        <w:rPr>
          <w:rFonts w:ascii="Arial Narrow" w:hAnsi="Arial Narrow" w:cstheme="majorBidi"/>
          <w:i/>
          <w:iCs/>
          <w:sz w:val="26"/>
          <w:szCs w:val="26"/>
        </w:rPr>
        <w:t>(</w:t>
      </w:r>
      <w:r>
        <w:rPr>
          <w:rFonts w:ascii="Arial Narrow" w:hAnsi="Arial Narrow" w:cstheme="majorBidi"/>
          <w:sz w:val="26"/>
          <w:szCs w:val="26"/>
        </w:rPr>
        <w:t>63,89</w:t>
      </w:r>
      <w:r>
        <w:rPr>
          <w:rFonts w:ascii="Arial Narrow" w:hAnsi="Arial Narrow" w:cstheme="majorBidi"/>
          <w:i/>
          <w:iCs/>
          <w:sz w:val="26"/>
          <w:szCs w:val="26"/>
        </w:rPr>
        <w:t xml:space="preserve">% vs </w:t>
      </w:r>
      <w:r>
        <w:rPr>
          <w:rFonts w:ascii="Arial Narrow" w:hAnsi="Arial Narrow" w:cstheme="majorBidi"/>
          <w:sz w:val="26"/>
          <w:szCs w:val="26"/>
        </w:rPr>
        <w:t>41,33</w:t>
      </w:r>
      <w:r>
        <w:rPr>
          <w:rFonts w:ascii="Arial Narrow" w:hAnsi="Arial Narrow" w:cstheme="majorBidi"/>
          <w:i/>
          <w:iCs/>
          <w:sz w:val="26"/>
          <w:szCs w:val="26"/>
        </w:rPr>
        <w:t xml:space="preserve">%, OR= </w:t>
      </w:r>
      <w:r>
        <w:rPr>
          <w:rFonts w:ascii="Arial Narrow" w:hAnsi="Arial Narrow" w:cstheme="majorBidi"/>
          <w:sz w:val="26"/>
          <w:szCs w:val="26"/>
        </w:rPr>
        <w:t>2,51</w:t>
      </w:r>
      <w:r>
        <w:rPr>
          <w:rFonts w:ascii="Arial Narrow" w:hAnsi="Arial Narrow" w:cstheme="majorBidi"/>
          <w:i/>
          <w:iCs/>
          <w:sz w:val="26"/>
          <w:szCs w:val="26"/>
        </w:rPr>
        <w:t xml:space="preserve"> p =</w:t>
      </w:r>
      <w:r>
        <w:rPr>
          <w:rFonts w:ascii="Arial Narrow" w:hAnsi="Arial Narrow" w:cstheme="majorBidi"/>
          <w:sz w:val="26"/>
          <w:szCs w:val="26"/>
        </w:rPr>
        <w:t>5,3 10</w:t>
      </w:r>
      <w:r>
        <w:rPr>
          <w:rFonts w:asciiTheme="majorBidi" w:hAnsiTheme="majorBidi" w:cstheme="majorBidi"/>
          <w:sz w:val="26"/>
          <w:szCs w:val="26"/>
          <w:vertAlign w:val="superscript"/>
        </w:rPr>
        <w:t>˗</w:t>
      </w:r>
      <w:r>
        <w:rPr>
          <w:rFonts w:ascii="Arial Narrow" w:hAnsi="Arial Narrow" w:cstheme="majorBidi"/>
          <w:sz w:val="26"/>
          <w:szCs w:val="26"/>
          <w:vertAlign w:val="superscript"/>
        </w:rPr>
        <w:t>3</w:t>
      </w:r>
      <w:r>
        <w:rPr>
          <w:rFonts w:ascii="Arial Narrow" w:hAnsi="Arial Narrow" w:cstheme="majorBidi"/>
          <w:sz w:val="26"/>
          <w:szCs w:val="26"/>
        </w:rPr>
        <w:t>) et que le génotype MICA-129 met/met</w:t>
      </w:r>
      <w:r>
        <w:rPr>
          <w:rFonts w:ascii="Arial Narrow" w:hAnsi="Arial Narrow" w:cstheme="majorBidi"/>
          <w:i/>
          <w:sz w:val="26"/>
          <w:szCs w:val="26"/>
        </w:rPr>
        <w:t xml:space="preserve"> </w:t>
      </w:r>
      <w:r>
        <w:rPr>
          <w:rFonts w:ascii="Arial Narrow" w:hAnsi="Arial Narrow" w:cstheme="majorBidi"/>
          <w:sz w:val="26"/>
          <w:szCs w:val="26"/>
        </w:rPr>
        <w:t xml:space="preserve">est un marqueur de protection. </w:t>
      </w:r>
    </w:p>
    <w:p w:rsidR="006247E4" w:rsidRDefault="006247E4" w:rsidP="006247E4">
      <w:pPr>
        <w:autoSpaceDE w:val="0"/>
        <w:autoSpaceDN w:val="0"/>
        <w:adjustRightInd w:val="0"/>
        <w:spacing w:line="276" w:lineRule="auto"/>
        <w:ind w:firstLine="708"/>
        <w:jc w:val="both"/>
        <w:rPr>
          <w:rFonts w:ascii="Arial Narrow" w:hAnsi="Arial Narrow" w:cstheme="majorBidi"/>
          <w:sz w:val="26"/>
          <w:szCs w:val="26"/>
        </w:rPr>
      </w:pPr>
    </w:p>
    <w:p w:rsidR="006247E4" w:rsidRDefault="006247E4" w:rsidP="006247E4">
      <w:pPr>
        <w:spacing w:line="276" w:lineRule="auto"/>
        <w:ind w:firstLine="708"/>
        <w:jc w:val="both"/>
        <w:rPr>
          <w:rFonts w:ascii="Arial Narrow" w:hAnsi="Arial Narrow" w:cstheme="majorBidi"/>
          <w:bCs/>
          <w:sz w:val="26"/>
          <w:szCs w:val="26"/>
        </w:rPr>
      </w:pPr>
      <w:r>
        <w:rPr>
          <w:rFonts w:ascii="Arial Narrow" w:hAnsi="Arial Narrow" w:cstheme="majorBidi"/>
          <w:b/>
          <w:sz w:val="26"/>
          <w:szCs w:val="26"/>
        </w:rPr>
        <w:t>L</w:t>
      </w:r>
      <w:r>
        <w:rPr>
          <w:rFonts w:ascii="Arial Narrow" w:hAnsi="Arial Narrow" w:cstheme="majorBidi"/>
          <w:bCs/>
          <w:sz w:val="26"/>
          <w:szCs w:val="26"/>
        </w:rPr>
        <w:t xml:space="preserve">'analyse génotypique, </w:t>
      </w:r>
      <w:proofErr w:type="spellStart"/>
      <w:r>
        <w:rPr>
          <w:rFonts w:ascii="Arial Narrow" w:hAnsi="Arial Narrow" w:cstheme="majorBidi"/>
          <w:bCs/>
          <w:sz w:val="26"/>
          <w:szCs w:val="26"/>
        </w:rPr>
        <w:t>allèliques</w:t>
      </w:r>
      <w:proofErr w:type="spellEnd"/>
      <w:r>
        <w:rPr>
          <w:rFonts w:ascii="Arial Narrow" w:hAnsi="Arial Narrow" w:cstheme="majorBidi"/>
          <w:bCs/>
          <w:sz w:val="26"/>
          <w:szCs w:val="26"/>
        </w:rPr>
        <w:t xml:space="preserve"> et phénotypique du polymorphisme des cytokines pro- inflammatoires et anti-inflammatoires, montre une association du diabète type 1 avec le polymorphisme (+874A/T) du gène de l’</w:t>
      </w:r>
      <w:proofErr w:type="spellStart"/>
      <w:r>
        <w:rPr>
          <w:rFonts w:ascii="Arial Narrow" w:hAnsi="Arial Narrow" w:cstheme="majorBidi"/>
          <w:bCs/>
          <w:sz w:val="26"/>
          <w:szCs w:val="26"/>
        </w:rPr>
        <w:t>IFNγ</w:t>
      </w:r>
      <w:proofErr w:type="spellEnd"/>
      <w:r>
        <w:rPr>
          <w:rFonts w:ascii="Arial Narrow" w:hAnsi="Arial Narrow" w:cstheme="majorBidi"/>
          <w:bCs/>
          <w:sz w:val="26"/>
          <w:szCs w:val="26"/>
        </w:rPr>
        <w:t xml:space="preserve"> correspondant à </w:t>
      </w:r>
      <w:r>
        <w:rPr>
          <w:rFonts w:ascii="Arial Narrow" w:hAnsi="Arial Narrow"/>
          <w:bCs/>
        </w:rPr>
        <w:t>l’allèle T</w:t>
      </w:r>
      <w:r>
        <w:rPr>
          <w:rFonts w:ascii="Arial Narrow" w:hAnsi="Arial Narrow" w:cstheme="majorBidi"/>
          <w:bCs/>
          <w:sz w:val="26"/>
          <w:szCs w:val="26"/>
        </w:rPr>
        <w:t xml:space="preserve"> et avec le polymorphisme (-308G/A) du gène de TNF-α correspondant à </w:t>
      </w:r>
      <w:r>
        <w:rPr>
          <w:rFonts w:ascii="Arial Narrow" w:hAnsi="Arial Narrow"/>
          <w:bCs/>
        </w:rPr>
        <w:t>l’allèle A</w:t>
      </w:r>
      <w:r>
        <w:rPr>
          <w:rFonts w:ascii="Arial Narrow" w:hAnsi="Arial Narrow" w:cstheme="majorBidi"/>
          <w:bCs/>
          <w:sz w:val="26"/>
          <w:szCs w:val="26"/>
        </w:rPr>
        <w:t xml:space="preserve"> et le génotype GA.  Cependant, aucune association n’est retrouvée avec les polymorphismes (-174G/C) du gène de l’IL-6, (</w:t>
      </w:r>
      <w:r>
        <w:rPr>
          <w:rFonts w:ascii="Arial Narrow" w:hAnsi="Arial Narrow" w:cstheme="majorBidi"/>
          <w:b/>
          <w:sz w:val="26"/>
          <w:szCs w:val="26"/>
        </w:rPr>
        <w:t>-</w:t>
      </w:r>
      <w:r>
        <w:rPr>
          <w:rFonts w:ascii="Arial Narrow" w:hAnsi="Arial Narrow" w:cstheme="majorBidi"/>
          <w:bCs/>
          <w:sz w:val="26"/>
          <w:szCs w:val="26"/>
        </w:rPr>
        <w:t xml:space="preserve">1082A/G, -819C/T et -592C/A) du gène de l'IL-10 et (+869T/C, +915G/C) du gène TGF-β1. </w:t>
      </w:r>
    </w:p>
    <w:p w:rsidR="006247E4" w:rsidRDefault="006247E4" w:rsidP="006247E4">
      <w:pPr>
        <w:spacing w:line="276" w:lineRule="auto"/>
        <w:ind w:firstLine="708"/>
        <w:jc w:val="both"/>
        <w:rPr>
          <w:rFonts w:ascii="Arial Narrow" w:hAnsi="Arial Narrow" w:cstheme="majorBidi"/>
          <w:bCs/>
          <w:sz w:val="26"/>
          <w:szCs w:val="26"/>
        </w:rPr>
      </w:pPr>
    </w:p>
    <w:p w:rsidR="006247E4" w:rsidRDefault="006247E4" w:rsidP="006247E4">
      <w:pPr>
        <w:spacing w:line="276" w:lineRule="auto"/>
        <w:ind w:firstLine="708"/>
        <w:jc w:val="both"/>
        <w:rPr>
          <w:rFonts w:ascii="Arial Narrow" w:hAnsi="Arial Narrow" w:cstheme="majorBidi"/>
          <w:sz w:val="26"/>
          <w:szCs w:val="26"/>
          <w:shd w:val="clear" w:color="auto" w:fill="FFFFFF"/>
        </w:rPr>
      </w:pPr>
      <w:r>
        <w:rPr>
          <w:rFonts w:ascii="Arial Narrow" w:hAnsi="Arial Narrow" w:cstheme="majorBidi"/>
          <w:b/>
          <w:sz w:val="26"/>
          <w:szCs w:val="26"/>
        </w:rPr>
        <w:t>Q</w:t>
      </w:r>
      <w:r>
        <w:rPr>
          <w:rFonts w:ascii="Arial Narrow" w:hAnsi="Arial Narrow" w:cstheme="majorBidi"/>
          <w:bCs/>
          <w:sz w:val="26"/>
          <w:szCs w:val="26"/>
        </w:rPr>
        <w:t>uant à l’étude des complications du DT1, l</w:t>
      </w:r>
      <w:r>
        <w:rPr>
          <w:rStyle w:val="longtext"/>
          <w:rFonts w:ascii="Arial Narrow" w:hAnsi="Arial Narrow" w:cstheme="majorBidi"/>
          <w:sz w:val="26"/>
          <w:szCs w:val="26"/>
        </w:rPr>
        <w:t xml:space="preserve">es résultats montrent une association de l’antigène  </w:t>
      </w:r>
      <w:r>
        <w:rPr>
          <w:rFonts w:ascii="Arial Narrow" w:hAnsi="Arial Narrow" w:cstheme="majorBidi"/>
          <w:sz w:val="26"/>
          <w:szCs w:val="26"/>
        </w:rPr>
        <w:t xml:space="preserve"> </w:t>
      </w:r>
      <w:r>
        <w:rPr>
          <w:rStyle w:val="longtext"/>
          <w:rFonts w:ascii="Arial Narrow" w:hAnsi="Arial Narrow" w:cstheme="majorBidi"/>
          <w:sz w:val="26"/>
          <w:szCs w:val="26"/>
        </w:rPr>
        <w:t>HLA  de classe I (</w:t>
      </w:r>
      <w:r>
        <w:rPr>
          <w:rFonts w:ascii="Arial Narrow" w:hAnsi="Arial Narrow" w:cstheme="majorBidi"/>
          <w:sz w:val="26"/>
          <w:szCs w:val="26"/>
        </w:rPr>
        <w:t xml:space="preserve">HLA-A29) avec la rétinopathie </w:t>
      </w:r>
      <w:r>
        <w:rPr>
          <w:rStyle w:val="apple-style-span"/>
          <w:rFonts w:ascii="Arial Narrow" w:eastAsia="Arial" w:hAnsi="Arial Narrow" w:cstheme="majorBidi"/>
          <w:color w:val="000000"/>
        </w:rPr>
        <w:t>diabétique qui est la complication oculaire la plus grave,</w:t>
      </w:r>
      <w:r>
        <w:rPr>
          <w:rFonts w:ascii="Arial Narrow" w:hAnsi="Arial Narrow" w:cstheme="majorBidi"/>
          <w:color w:val="000000"/>
          <w:sz w:val="26"/>
          <w:szCs w:val="26"/>
        </w:rPr>
        <w:t xml:space="preserve"> associée au diabète et une </w:t>
      </w:r>
      <w:r>
        <w:rPr>
          <w:rFonts w:ascii="Arial Narrow" w:hAnsi="Arial Narrow" w:cstheme="majorBidi"/>
          <w:sz w:val="26"/>
          <w:szCs w:val="26"/>
          <w:shd w:val="clear" w:color="auto" w:fill="FFFFFF"/>
        </w:rPr>
        <w:t xml:space="preserve">prévalence de la thyroïdite auto-immune avec le DT1.  </w:t>
      </w:r>
    </w:p>
    <w:p w:rsidR="006247E4" w:rsidRDefault="006247E4" w:rsidP="006247E4">
      <w:pPr>
        <w:bidi/>
        <w:jc w:val="both"/>
        <w:rPr>
          <w:rFonts w:asciiTheme="majorBidi" w:hAnsiTheme="majorBidi" w:cstheme="majorBidi"/>
          <w:b/>
          <w:bCs/>
        </w:rPr>
      </w:pPr>
    </w:p>
    <w:p w:rsidR="006247E4" w:rsidRDefault="006247E4" w:rsidP="006247E4">
      <w:pPr>
        <w:bidi/>
        <w:jc w:val="both"/>
        <w:rPr>
          <w:rFonts w:asciiTheme="majorBidi" w:hAnsiTheme="majorBidi" w:cstheme="majorBidi"/>
          <w:b/>
          <w:bCs/>
        </w:rPr>
      </w:pPr>
      <w:proofErr w:type="gramStart"/>
      <w:r>
        <w:rPr>
          <w:rFonts w:asciiTheme="majorBidi" w:hAnsiTheme="majorBidi" w:cstheme="majorBidi" w:hint="cs"/>
          <w:b/>
          <w:bCs/>
          <w:rtl/>
        </w:rPr>
        <w:lastRenderedPageBreak/>
        <w:t>ملخص</w:t>
      </w:r>
      <w:proofErr w:type="gramEnd"/>
    </w:p>
    <w:p w:rsidR="006247E4" w:rsidRDefault="006247E4" w:rsidP="006247E4">
      <w:pPr>
        <w:bidi/>
        <w:spacing w:line="240" w:lineRule="exact"/>
        <w:jc w:val="center"/>
        <w:rPr>
          <w:rFonts w:asciiTheme="majorBidi" w:hAnsiTheme="majorBidi" w:cstheme="majorBidi"/>
          <w:b/>
          <w:bCs/>
        </w:rPr>
      </w:pPr>
    </w:p>
    <w:p w:rsidR="006247E4" w:rsidRDefault="006247E4" w:rsidP="006247E4">
      <w:pPr>
        <w:bidi/>
        <w:spacing w:line="240" w:lineRule="exact"/>
        <w:jc w:val="both"/>
        <w:rPr>
          <w:rFonts w:asciiTheme="majorBidi" w:hAnsiTheme="majorBidi" w:cstheme="majorBidi" w:hint="cs"/>
          <w:rtl/>
        </w:rPr>
      </w:pPr>
      <w:r>
        <w:rPr>
          <w:rFonts w:asciiTheme="majorBidi" w:hAnsiTheme="majorBidi" w:cstheme="majorBidi" w:hint="cs"/>
          <w:rtl/>
        </w:rPr>
        <w:t>داء السكري صنف1 (</w:t>
      </w:r>
      <w:r>
        <w:rPr>
          <w:rFonts w:asciiTheme="majorBidi" w:hAnsiTheme="majorBidi" w:cstheme="majorBidi"/>
        </w:rPr>
        <w:t>DT1</w:t>
      </w:r>
      <w:r>
        <w:rPr>
          <w:rFonts w:asciiTheme="majorBidi" w:hAnsiTheme="majorBidi" w:cstheme="majorBidi" w:hint="cs"/>
          <w:rtl/>
        </w:rPr>
        <w:t>) داء مناعي ذاتي</w:t>
      </w:r>
      <w:bookmarkStart w:id="0" w:name="_GoBack"/>
      <w:bookmarkEnd w:id="0"/>
      <w:r>
        <w:rPr>
          <w:rFonts w:asciiTheme="majorBidi" w:hAnsiTheme="majorBidi" w:cstheme="majorBidi" w:hint="cs"/>
          <w:rtl/>
        </w:rPr>
        <w:t xml:space="preserve"> يمس أجهزة الجسم بصفة خاصة، ينشأ بفعل واحد أو عدة عوامل بيئية عند الأشخاص الحاملين لخص</w:t>
      </w:r>
      <w:proofErr w:type="gramStart"/>
      <w:r>
        <w:rPr>
          <w:rFonts w:asciiTheme="majorBidi" w:hAnsiTheme="majorBidi" w:cstheme="majorBidi" w:hint="cs"/>
          <w:rtl/>
        </w:rPr>
        <w:t>ائص ج</w:t>
      </w:r>
      <w:proofErr w:type="gramEnd"/>
      <w:r>
        <w:rPr>
          <w:rFonts w:asciiTheme="majorBidi" w:hAnsiTheme="majorBidi" w:cstheme="majorBidi" w:hint="cs"/>
          <w:rtl/>
        </w:rPr>
        <w:t>ينية معينة</w:t>
      </w:r>
      <w:r>
        <w:rPr>
          <w:rFonts w:asciiTheme="majorBidi" w:hAnsiTheme="majorBidi" w:cstheme="majorBidi" w:hint="cs"/>
        </w:rPr>
        <w:t xml:space="preserve"> </w:t>
      </w:r>
      <w:r>
        <w:rPr>
          <w:rFonts w:asciiTheme="majorBidi" w:hAnsiTheme="majorBidi" w:cstheme="majorBidi" w:hint="cs"/>
          <w:rtl/>
        </w:rPr>
        <w:t>بالفطرة. هو ناتج عن التدمير الانتقائي لخلايا β من جزر لانجر هانز (</w:t>
      </w:r>
      <w:proofErr w:type="spellStart"/>
      <w:r>
        <w:rPr>
          <w:rFonts w:asciiTheme="majorBidi" w:hAnsiTheme="majorBidi" w:cstheme="majorBidi"/>
        </w:rPr>
        <w:t>Ilôts</w:t>
      </w:r>
      <w:proofErr w:type="spellEnd"/>
      <w:r>
        <w:rPr>
          <w:rFonts w:asciiTheme="majorBidi" w:hAnsiTheme="majorBidi" w:cstheme="majorBidi"/>
        </w:rPr>
        <w:t xml:space="preserve"> de </w:t>
      </w:r>
      <w:proofErr w:type="spellStart"/>
      <w:r>
        <w:rPr>
          <w:rFonts w:asciiTheme="majorBidi" w:hAnsiTheme="majorBidi" w:cstheme="majorBidi"/>
        </w:rPr>
        <w:t>Langerhans</w:t>
      </w:r>
      <w:proofErr w:type="spellEnd"/>
      <w:r>
        <w:rPr>
          <w:rFonts w:asciiTheme="majorBidi" w:hAnsiTheme="majorBidi" w:cstheme="majorBidi" w:hint="cs"/>
          <w:rtl/>
        </w:rPr>
        <w:t>) وينجم عن ذلك عواقب معيّنة كنقص تدريجي في الأنسولين (</w:t>
      </w:r>
      <w:proofErr w:type="spellStart"/>
      <w:r>
        <w:rPr>
          <w:rFonts w:asciiTheme="majorBidi" w:hAnsiTheme="majorBidi" w:cstheme="majorBidi"/>
        </w:rPr>
        <w:t>Insulinopénie</w:t>
      </w:r>
      <w:proofErr w:type="spellEnd"/>
      <w:r>
        <w:rPr>
          <w:rFonts w:asciiTheme="majorBidi" w:hAnsiTheme="majorBidi" w:cstheme="majorBidi" w:hint="cs"/>
          <w:rtl/>
        </w:rPr>
        <w:t>)، الذي يتطور إلى ارتفاع بصفة دائمة في نسبة السكر.</w:t>
      </w:r>
    </w:p>
    <w:p w:rsidR="006247E4" w:rsidRDefault="006247E4" w:rsidP="006247E4">
      <w:pPr>
        <w:bidi/>
        <w:spacing w:line="240" w:lineRule="exact"/>
        <w:jc w:val="both"/>
        <w:rPr>
          <w:rFonts w:asciiTheme="majorBidi" w:hAnsiTheme="majorBidi" w:cstheme="majorBidi" w:hint="cs"/>
          <w:rtl/>
        </w:rPr>
      </w:pPr>
      <w:r>
        <w:rPr>
          <w:rFonts w:asciiTheme="majorBidi" w:hAnsiTheme="majorBidi" w:cstheme="majorBidi" w:hint="cs"/>
          <w:rtl/>
        </w:rPr>
        <w:t xml:space="preserve">إن دراستنا أثبتت صلة المورّثات </w:t>
      </w:r>
      <w:r>
        <w:rPr>
          <w:rFonts w:asciiTheme="majorBidi" w:hAnsiTheme="majorBidi" w:cstheme="majorBidi"/>
        </w:rPr>
        <w:t>HLA</w:t>
      </w:r>
      <w:r>
        <w:rPr>
          <w:rFonts w:asciiTheme="majorBidi" w:hAnsiTheme="majorBidi" w:cstheme="majorBidi" w:hint="cs"/>
          <w:rtl/>
        </w:rPr>
        <w:t xml:space="preserve"> من نوع </w:t>
      </w:r>
      <w:r>
        <w:rPr>
          <w:rFonts w:asciiTheme="majorBidi" w:hAnsiTheme="majorBidi" w:cstheme="majorBidi"/>
        </w:rPr>
        <w:t>II 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 w:hint="cs"/>
          <w:b/>
          <w:bCs/>
          <w:rtl/>
        </w:rPr>
        <w:t>(</w:t>
      </w:r>
      <w:r>
        <w:rPr>
          <w:rFonts w:asciiTheme="majorBidi" w:hAnsiTheme="majorBidi" w:cstheme="majorBidi"/>
          <w:b/>
          <w:bCs/>
        </w:rPr>
        <w:t>-DR3</w:t>
      </w:r>
      <w:r>
        <w:rPr>
          <w:rFonts w:asciiTheme="majorBidi" w:hAnsiTheme="majorBidi" w:cstheme="majorBidi" w:hint="cs"/>
          <w:b/>
          <w:bCs/>
          <w:rtl/>
        </w:rPr>
        <w:t xml:space="preserve">، </w:t>
      </w:r>
      <w:r>
        <w:rPr>
          <w:rFonts w:asciiTheme="majorBidi" w:hAnsiTheme="majorBidi" w:cstheme="majorBidi"/>
          <w:b/>
          <w:bCs/>
        </w:rPr>
        <w:t>-DR4</w:t>
      </w:r>
      <w:r>
        <w:rPr>
          <w:rFonts w:asciiTheme="majorBidi" w:hAnsiTheme="majorBidi" w:cstheme="majorBidi" w:hint="cs"/>
          <w:b/>
          <w:bCs/>
          <w:rtl/>
        </w:rPr>
        <w:t xml:space="preserve">، </w:t>
      </w:r>
      <w:r>
        <w:rPr>
          <w:rFonts w:asciiTheme="majorBidi" w:hAnsiTheme="majorBidi" w:cstheme="majorBidi"/>
          <w:b/>
          <w:bCs/>
        </w:rPr>
        <w:t>-DQ2</w:t>
      </w:r>
      <w:r>
        <w:rPr>
          <w:rFonts w:asciiTheme="majorBidi" w:hAnsiTheme="majorBidi" w:cstheme="majorBidi" w:hint="cs"/>
          <w:b/>
          <w:bCs/>
          <w:rtl/>
        </w:rPr>
        <w:t xml:space="preserve">، </w:t>
      </w:r>
      <w:r>
        <w:rPr>
          <w:rFonts w:asciiTheme="majorBidi" w:hAnsiTheme="majorBidi" w:cstheme="majorBidi"/>
          <w:b/>
          <w:bCs/>
        </w:rPr>
        <w:t>-DQ8</w:t>
      </w:r>
      <w:r>
        <w:rPr>
          <w:rFonts w:asciiTheme="majorBidi" w:hAnsiTheme="majorBidi" w:cstheme="majorBidi" w:hint="cs"/>
          <w:b/>
          <w:bCs/>
          <w:rtl/>
        </w:rPr>
        <w:t>)</w:t>
      </w:r>
      <w:r>
        <w:rPr>
          <w:rFonts w:asciiTheme="majorBidi" w:hAnsiTheme="majorBidi" w:cstheme="majorBidi" w:hint="cs"/>
          <w:rtl/>
        </w:rPr>
        <w:t xml:space="preserve"> </w:t>
      </w:r>
      <w:proofErr w:type="spellStart"/>
      <w:r>
        <w:rPr>
          <w:rFonts w:asciiTheme="majorBidi" w:hAnsiTheme="majorBidi" w:cstheme="majorBidi" w:hint="cs"/>
          <w:rtl/>
        </w:rPr>
        <w:t>والأليلات</w:t>
      </w:r>
      <w:proofErr w:type="spellEnd"/>
      <w:r>
        <w:rPr>
          <w:rFonts w:asciiTheme="majorBidi" w:hAnsiTheme="majorBidi" w:cstheme="majorBidi" w:hint="cs"/>
          <w:rtl/>
        </w:rPr>
        <w:t xml:space="preserve"> </w:t>
      </w:r>
      <w:r>
        <w:rPr>
          <w:rFonts w:asciiTheme="majorBidi" w:hAnsiTheme="majorBidi" w:cstheme="majorBidi"/>
          <w:b/>
          <w:bCs/>
        </w:rPr>
        <w:t>HLA</w:t>
      </w:r>
      <w:r>
        <w:rPr>
          <w:rFonts w:asciiTheme="majorBidi" w:hAnsiTheme="majorBidi" w:cstheme="majorBidi" w:hint="cs"/>
          <w:b/>
          <w:bCs/>
          <w:rtl/>
        </w:rPr>
        <w:t xml:space="preserve"> (</w:t>
      </w:r>
      <w:r>
        <w:rPr>
          <w:rFonts w:asciiTheme="majorBidi" w:hAnsiTheme="majorBidi" w:cstheme="majorBidi"/>
          <w:b/>
          <w:bCs/>
        </w:rPr>
        <w:t>DRB1*0301</w:t>
      </w:r>
      <w:r>
        <w:rPr>
          <w:rFonts w:asciiTheme="majorBidi" w:hAnsiTheme="majorBidi" w:cstheme="majorBidi" w:hint="cs"/>
          <w:b/>
          <w:bCs/>
          <w:rtl/>
        </w:rPr>
        <w:t>،</w:t>
      </w:r>
      <w:r>
        <w:rPr>
          <w:rFonts w:asciiTheme="majorBidi" w:hAnsiTheme="majorBidi" w:cstheme="majorBidi" w:hint="cs"/>
          <w:rtl/>
        </w:rPr>
        <w:t xml:space="preserve"> </w:t>
      </w:r>
      <w:r>
        <w:rPr>
          <w:rFonts w:asciiTheme="majorBidi" w:hAnsiTheme="majorBidi" w:cstheme="majorBidi"/>
        </w:rPr>
        <w:t>*0405</w:t>
      </w:r>
      <w:r>
        <w:rPr>
          <w:rFonts w:asciiTheme="majorBidi" w:hAnsiTheme="majorBidi" w:cstheme="majorBidi" w:hint="cs"/>
          <w:b/>
          <w:bCs/>
          <w:rtl/>
        </w:rPr>
        <w:t xml:space="preserve">، </w:t>
      </w:r>
      <w:r>
        <w:rPr>
          <w:rFonts w:asciiTheme="majorBidi" w:hAnsiTheme="majorBidi" w:cstheme="majorBidi"/>
          <w:b/>
          <w:bCs/>
        </w:rPr>
        <w:t>DQB1*0201</w:t>
      </w:r>
      <w:r>
        <w:rPr>
          <w:rFonts w:asciiTheme="majorBidi" w:hAnsiTheme="majorBidi" w:cstheme="majorBidi" w:hint="cs"/>
          <w:b/>
          <w:bCs/>
          <w:rtl/>
        </w:rPr>
        <w:t xml:space="preserve"> و</w:t>
      </w:r>
      <w:r>
        <w:rPr>
          <w:rFonts w:asciiTheme="majorBidi" w:hAnsiTheme="majorBidi" w:cstheme="majorBidi"/>
          <w:b/>
          <w:bCs/>
        </w:rPr>
        <w:t>*0302</w:t>
      </w:r>
      <w:r>
        <w:rPr>
          <w:rFonts w:asciiTheme="majorBidi" w:hAnsiTheme="majorBidi" w:cstheme="majorBidi" w:hint="cs"/>
          <w:b/>
          <w:bCs/>
          <w:rtl/>
        </w:rPr>
        <w:t>)</w:t>
      </w:r>
      <w:r>
        <w:rPr>
          <w:rFonts w:asciiTheme="majorBidi" w:hAnsiTheme="majorBidi" w:cstheme="majorBidi" w:hint="cs"/>
          <w:rtl/>
        </w:rPr>
        <w:t xml:space="preserve"> مع داء السكري (</w:t>
      </w:r>
      <w:r>
        <w:rPr>
          <w:rFonts w:asciiTheme="majorBidi" w:hAnsiTheme="majorBidi" w:cstheme="majorBidi"/>
        </w:rPr>
        <w:t>DT1</w:t>
      </w:r>
      <w:r>
        <w:rPr>
          <w:rFonts w:asciiTheme="majorBidi" w:hAnsiTheme="majorBidi" w:cstheme="majorBidi" w:hint="cs"/>
          <w:rtl/>
        </w:rPr>
        <w:t xml:space="preserve">) بنسب مقدرة على التوالي بين نوع </w:t>
      </w:r>
      <w:r>
        <w:rPr>
          <w:rFonts w:asciiTheme="majorBidi" w:hAnsiTheme="majorBidi" w:cstheme="majorBidi"/>
        </w:rPr>
        <w:t xml:space="preserve">Juvénile </w:t>
      </w:r>
      <w:r>
        <w:rPr>
          <w:rFonts w:asciiTheme="majorBidi" w:hAnsiTheme="majorBidi" w:cstheme="majorBidi" w:hint="cs"/>
          <w:rtl/>
        </w:rPr>
        <w:t xml:space="preserve"> و</w:t>
      </w:r>
      <w:r>
        <w:rPr>
          <w:rFonts w:asciiTheme="majorBidi" w:hAnsiTheme="majorBidi" w:cstheme="majorBidi"/>
        </w:rPr>
        <w:t>LADA</w:t>
      </w:r>
      <w:r>
        <w:rPr>
          <w:rFonts w:asciiTheme="majorBidi" w:hAnsiTheme="majorBidi" w:cstheme="majorBidi" w:hint="cs"/>
          <w:rtl/>
        </w:rPr>
        <w:t xml:space="preserve">: </w:t>
      </w:r>
      <w:r>
        <w:rPr>
          <w:rFonts w:asciiTheme="majorBidi" w:hAnsiTheme="majorBidi" w:cstheme="majorBidi"/>
        </w:rPr>
        <w:t xml:space="preserve"> DR3</w:t>
      </w:r>
      <w:r>
        <w:rPr>
          <w:rFonts w:asciiTheme="majorBidi" w:hAnsiTheme="majorBidi" w:cstheme="majorBidi" w:hint="cs"/>
          <w:rtl/>
        </w:rPr>
        <w:t>(</w:t>
      </w:r>
      <w:r>
        <w:rPr>
          <w:rFonts w:asciiTheme="majorBidi" w:hAnsiTheme="majorBidi" w:cstheme="majorBidi"/>
        </w:rPr>
        <w:t>66,67%</w:t>
      </w:r>
      <w:r>
        <w:rPr>
          <w:rFonts w:asciiTheme="majorBidi" w:hAnsiTheme="majorBidi" w:cstheme="majorBidi" w:hint="cs"/>
          <w:rtl/>
        </w:rPr>
        <w:t>،</w:t>
      </w:r>
      <w:r>
        <w:rPr>
          <w:rFonts w:asciiTheme="majorBidi" w:hAnsiTheme="majorBidi" w:cstheme="majorBidi"/>
        </w:rPr>
        <w:t xml:space="preserve"> 75%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vs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31,43%</w:t>
      </w:r>
      <w:r>
        <w:rPr>
          <w:rFonts w:asciiTheme="majorBidi" w:hAnsiTheme="majorBidi" w:cstheme="majorBidi" w:hint="cs"/>
          <w:rtl/>
        </w:rPr>
        <w:t xml:space="preserve">)، </w:t>
      </w:r>
      <w:r>
        <w:rPr>
          <w:rFonts w:asciiTheme="majorBidi" w:hAnsiTheme="majorBidi" w:cstheme="majorBidi"/>
        </w:rPr>
        <w:t>DR4</w:t>
      </w:r>
      <w:r>
        <w:rPr>
          <w:rFonts w:asciiTheme="majorBidi" w:hAnsiTheme="majorBidi" w:cstheme="majorBidi" w:hint="cs"/>
          <w:rtl/>
        </w:rPr>
        <w:t xml:space="preserve"> (</w:t>
      </w:r>
      <w:r>
        <w:rPr>
          <w:rFonts w:asciiTheme="majorBidi" w:hAnsiTheme="majorBidi" w:cstheme="majorBidi"/>
        </w:rPr>
        <w:t>48,89%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52,5%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vs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26,43%</w:t>
      </w:r>
      <w:r>
        <w:rPr>
          <w:rFonts w:asciiTheme="majorBidi" w:hAnsiTheme="majorBidi" w:cstheme="majorBidi" w:hint="cs"/>
          <w:rtl/>
        </w:rPr>
        <w:t xml:space="preserve">)، </w:t>
      </w:r>
      <w:r>
        <w:rPr>
          <w:rFonts w:asciiTheme="majorBidi" w:hAnsiTheme="majorBidi" w:cstheme="majorBidi"/>
        </w:rPr>
        <w:t>DQ2</w:t>
      </w:r>
      <w:r>
        <w:rPr>
          <w:rFonts w:asciiTheme="majorBidi" w:hAnsiTheme="majorBidi" w:cstheme="majorBidi" w:hint="cs"/>
          <w:rtl/>
        </w:rPr>
        <w:t xml:space="preserve"> (</w:t>
      </w:r>
      <w:r>
        <w:rPr>
          <w:rFonts w:asciiTheme="majorBidi" w:hAnsiTheme="majorBidi" w:cstheme="majorBidi"/>
        </w:rPr>
        <w:t>66,67%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75%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vs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39,29%</w:t>
      </w:r>
      <w:r>
        <w:rPr>
          <w:rFonts w:asciiTheme="majorBidi" w:hAnsiTheme="majorBidi" w:cstheme="majorBidi" w:hint="cs"/>
          <w:rtl/>
        </w:rPr>
        <w:t xml:space="preserve">) و </w:t>
      </w:r>
      <w:r>
        <w:rPr>
          <w:rFonts w:asciiTheme="majorBidi" w:hAnsiTheme="majorBidi" w:cstheme="majorBidi"/>
        </w:rPr>
        <w:t>DQ8(3)</w:t>
      </w:r>
      <w:r>
        <w:rPr>
          <w:rFonts w:asciiTheme="majorBidi" w:hAnsiTheme="majorBidi" w:cstheme="majorBidi" w:hint="cs"/>
          <w:rtl/>
        </w:rPr>
        <w:t xml:space="preserve"> (</w:t>
      </w:r>
      <w:r>
        <w:rPr>
          <w:rFonts w:asciiTheme="majorBidi" w:hAnsiTheme="majorBidi" w:cstheme="majorBidi"/>
        </w:rPr>
        <w:t>46,67%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47,5%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vs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19,29%</w:t>
      </w:r>
      <w:r>
        <w:rPr>
          <w:rFonts w:asciiTheme="majorBidi" w:hAnsiTheme="majorBidi" w:cstheme="majorBidi" w:hint="cs"/>
          <w:rtl/>
        </w:rPr>
        <w:t>).</w:t>
      </w:r>
      <w:r>
        <w:rPr>
          <w:rFonts w:asciiTheme="majorBidi" w:hAnsiTheme="majorBidi" w:cstheme="majorBidi"/>
        </w:rPr>
        <w:t xml:space="preserve">  </w:t>
      </w:r>
      <w:r>
        <w:rPr>
          <w:rFonts w:asciiTheme="majorBidi" w:hAnsiTheme="majorBidi" w:cstheme="majorBidi" w:hint="cs"/>
          <w:rtl/>
        </w:rPr>
        <w:t xml:space="preserve">في المقابل، المورثات </w:t>
      </w:r>
      <w:r>
        <w:rPr>
          <w:rFonts w:asciiTheme="majorBidi" w:hAnsiTheme="majorBidi" w:cstheme="majorBidi"/>
        </w:rPr>
        <w:t>HLA</w:t>
      </w:r>
      <w:r>
        <w:rPr>
          <w:rFonts w:asciiTheme="majorBidi" w:hAnsiTheme="majorBidi" w:cstheme="majorBidi" w:hint="cs"/>
          <w:rtl/>
        </w:rPr>
        <w:t xml:space="preserve"> (</w:t>
      </w:r>
      <w:r>
        <w:rPr>
          <w:rFonts w:asciiTheme="majorBidi" w:hAnsiTheme="majorBidi" w:cstheme="majorBidi"/>
        </w:rPr>
        <w:t>-DR5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-DR15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-DQ6</w:t>
      </w:r>
      <w:r>
        <w:rPr>
          <w:rFonts w:asciiTheme="majorBidi" w:hAnsiTheme="majorBidi" w:cstheme="majorBidi" w:hint="cs"/>
          <w:rtl/>
        </w:rPr>
        <w:t xml:space="preserve">) هي مورثات حماية ضد مرض السكري </w:t>
      </w:r>
      <w:r>
        <w:rPr>
          <w:rFonts w:asciiTheme="majorBidi" w:hAnsiTheme="majorBidi" w:cstheme="majorBidi"/>
        </w:rPr>
        <w:t>DT1</w:t>
      </w:r>
      <w:r>
        <w:rPr>
          <w:rFonts w:asciiTheme="majorBidi" w:hAnsiTheme="majorBidi" w:cstheme="majorBidi" w:hint="cs"/>
          <w:rtl/>
        </w:rPr>
        <w:t xml:space="preserve"> عند السكان الجزائريين بنسب </w:t>
      </w:r>
      <w:r>
        <w:rPr>
          <w:rFonts w:asciiTheme="majorBidi" w:hAnsiTheme="majorBidi" w:cstheme="majorBidi"/>
        </w:rPr>
        <w:t>DR5</w:t>
      </w:r>
      <w:r>
        <w:rPr>
          <w:rFonts w:asciiTheme="majorBidi" w:hAnsiTheme="majorBidi" w:cstheme="majorBidi" w:hint="cs"/>
          <w:rtl/>
        </w:rPr>
        <w:t>(</w:t>
      </w:r>
      <w:r>
        <w:rPr>
          <w:rFonts w:asciiTheme="majorBidi" w:hAnsiTheme="majorBidi" w:cstheme="majorBidi"/>
        </w:rPr>
        <w:t>0%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0%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vs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87,86%</w:t>
      </w:r>
      <w:r>
        <w:rPr>
          <w:rFonts w:asciiTheme="majorBidi" w:hAnsiTheme="majorBidi" w:cstheme="majorBidi" w:hint="cs"/>
          <w:rtl/>
        </w:rPr>
        <w:t xml:space="preserve">)، </w:t>
      </w:r>
      <w:r>
        <w:rPr>
          <w:rFonts w:asciiTheme="majorBidi" w:hAnsiTheme="majorBidi" w:cstheme="majorBidi"/>
        </w:rPr>
        <w:t>DR15</w:t>
      </w:r>
      <w:r>
        <w:rPr>
          <w:rFonts w:asciiTheme="majorBidi" w:hAnsiTheme="majorBidi" w:cstheme="majorBidi" w:hint="cs"/>
          <w:rtl/>
        </w:rPr>
        <w:t>(</w:t>
      </w:r>
      <w:r>
        <w:rPr>
          <w:rFonts w:asciiTheme="majorBidi" w:hAnsiTheme="majorBidi" w:cstheme="majorBidi"/>
        </w:rPr>
        <w:t>4,44%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10%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vs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15%</w:t>
      </w:r>
      <w:r>
        <w:rPr>
          <w:rFonts w:asciiTheme="majorBidi" w:hAnsiTheme="majorBidi" w:cstheme="majorBidi" w:hint="cs"/>
          <w:rtl/>
        </w:rPr>
        <w:t>) ،</w:t>
      </w:r>
      <w:r>
        <w:rPr>
          <w:rFonts w:asciiTheme="majorBidi" w:hAnsiTheme="majorBidi" w:cstheme="majorBidi"/>
        </w:rPr>
        <w:t>DQ6</w:t>
      </w:r>
      <w:r>
        <w:rPr>
          <w:rFonts w:asciiTheme="majorBidi" w:hAnsiTheme="majorBidi" w:cstheme="majorBidi" w:hint="cs"/>
          <w:rtl/>
        </w:rPr>
        <w:t>(</w:t>
      </w:r>
      <w:r>
        <w:rPr>
          <w:rFonts w:asciiTheme="majorBidi" w:hAnsiTheme="majorBidi" w:cstheme="majorBidi"/>
        </w:rPr>
        <w:t>13,33%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12,5%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vs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32.86%</w:t>
      </w:r>
      <w:r>
        <w:rPr>
          <w:rFonts w:asciiTheme="majorBidi" w:hAnsiTheme="majorBidi" w:cstheme="majorBidi" w:hint="cs"/>
          <w:rtl/>
        </w:rPr>
        <w:t xml:space="preserve">) بالنسبة لنوع </w:t>
      </w:r>
      <w:r>
        <w:rPr>
          <w:rFonts w:asciiTheme="majorBidi" w:hAnsiTheme="majorBidi" w:cstheme="majorBidi"/>
        </w:rPr>
        <w:t>Juvénile</w:t>
      </w:r>
      <w:r>
        <w:rPr>
          <w:rFonts w:asciiTheme="majorBidi" w:hAnsiTheme="majorBidi" w:cstheme="majorBidi" w:hint="cs"/>
          <w:rtl/>
        </w:rPr>
        <w:t xml:space="preserve"> و </w:t>
      </w:r>
      <w:r>
        <w:rPr>
          <w:rFonts w:asciiTheme="majorBidi" w:hAnsiTheme="majorBidi" w:cstheme="majorBidi"/>
        </w:rPr>
        <w:t>LADA</w:t>
      </w:r>
      <w:r>
        <w:rPr>
          <w:rFonts w:asciiTheme="majorBidi" w:hAnsiTheme="majorBidi" w:cstheme="majorBidi" w:hint="cs"/>
          <w:rtl/>
        </w:rPr>
        <w:t xml:space="preserve"> على التوالي.</w:t>
      </w:r>
      <w:r>
        <w:rPr>
          <w:rFonts w:asciiTheme="majorBidi" w:hAnsiTheme="majorBidi" w:cstheme="majorBidi"/>
        </w:rPr>
        <w:t xml:space="preserve">  </w:t>
      </w:r>
      <w:r>
        <w:rPr>
          <w:rFonts w:asciiTheme="majorBidi" w:hAnsiTheme="majorBidi" w:cstheme="majorBidi" w:hint="cs"/>
          <w:rtl/>
        </w:rPr>
        <w:t xml:space="preserve">هذه الصلة </w:t>
      </w:r>
      <w:r>
        <w:rPr>
          <w:rFonts w:asciiTheme="majorBidi" w:hAnsiTheme="majorBidi" w:cstheme="majorBidi"/>
        </w:rPr>
        <w:t>HLA</w:t>
      </w:r>
      <w:r>
        <w:rPr>
          <w:rFonts w:asciiTheme="majorBidi" w:hAnsiTheme="majorBidi" w:cstheme="majorBidi" w:hint="cs"/>
          <w:rtl/>
        </w:rPr>
        <w:t xml:space="preserve"> مستقلة عن صلة التعدّد الشكلي (</w:t>
      </w:r>
      <w:r>
        <w:rPr>
          <w:rFonts w:asciiTheme="majorBidi" w:hAnsiTheme="majorBidi" w:cstheme="majorBidi"/>
        </w:rPr>
        <w:t>polymorphisme</w:t>
      </w:r>
      <w:r>
        <w:rPr>
          <w:rFonts w:asciiTheme="majorBidi" w:hAnsiTheme="majorBidi" w:cstheme="majorBidi" w:hint="cs"/>
          <w:rtl/>
        </w:rPr>
        <w:t xml:space="preserve">) الوظيفي </w:t>
      </w:r>
      <w:r>
        <w:rPr>
          <w:rFonts w:asciiTheme="majorBidi" w:hAnsiTheme="majorBidi" w:cstheme="majorBidi" w:hint="cs"/>
          <w:b/>
          <w:bCs/>
          <w:rtl/>
        </w:rPr>
        <w:t xml:space="preserve">لمورّثة </w:t>
      </w:r>
      <w:r>
        <w:rPr>
          <w:rFonts w:asciiTheme="majorBidi" w:hAnsiTheme="majorBidi" w:cstheme="majorBidi"/>
          <w:b/>
          <w:bCs/>
        </w:rPr>
        <w:t>MICA-1</w:t>
      </w:r>
      <w:r>
        <w:rPr>
          <w:rFonts w:asciiTheme="majorBidi" w:hAnsiTheme="majorBidi" w:cstheme="majorBidi"/>
        </w:rPr>
        <w:t>29</w:t>
      </w:r>
      <w:r>
        <w:rPr>
          <w:rFonts w:asciiTheme="majorBidi" w:hAnsiTheme="majorBidi" w:cstheme="majorBidi" w:hint="cs"/>
          <w:rtl/>
        </w:rPr>
        <w:t xml:space="preserve"> ذات النمط الوراثي (</w:t>
      </w:r>
      <w:r>
        <w:rPr>
          <w:rFonts w:asciiTheme="majorBidi" w:hAnsiTheme="majorBidi" w:cstheme="majorBidi"/>
        </w:rPr>
        <w:t>génotype</w:t>
      </w:r>
      <w:r>
        <w:rPr>
          <w:rFonts w:asciiTheme="majorBidi" w:hAnsiTheme="majorBidi" w:cstheme="majorBidi" w:hint="cs"/>
          <w:rtl/>
        </w:rPr>
        <w:t xml:space="preserve">) </w:t>
      </w:r>
      <w:r>
        <w:rPr>
          <w:rFonts w:asciiTheme="majorBidi" w:hAnsiTheme="majorBidi" w:cstheme="majorBidi"/>
        </w:rPr>
        <w:t>MICA-129 val/val</w:t>
      </w:r>
      <w:r>
        <w:rPr>
          <w:rFonts w:asciiTheme="majorBidi" w:hAnsiTheme="majorBidi" w:cstheme="majorBidi" w:hint="cs"/>
          <w:rtl/>
        </w:rPr>
        <w:t xml:space="preserve"> الذي يظهر كعامل لقابلية الإصابة (</w:t>
      </w:r>
      <w:r>
        <w:rPr>
          <w:rFonts w:asciiTheme="majorBidi" w:hAnsiTheme="majorBidi" w:cstheme="majorBidi"/>
        </w:rPr>
        <w:t>63,89%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vs</w:t>
      </w:r>
      <w:r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</w:rPr>
        <w:t>41,33%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OR=2,51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p=5,3 10</w:t>
      </w:r>
      <w:r>
        <w:rPr>
          <w:rFonts w:asciiTheme="majorBidi" w:hAnsiTheme="majorBidi" w:cstheme="majorBidi"/>
          <w:vertAlign w:val="superscript"/>
        </w:rPr>
        <w:t>3-</w:t>
      </w:r>
      <w:r>
        <w:rPr>
          <w:rFonts w:asciiTheme="majorBidi" w:hAnsiTheme="majorBidi" w:cstheme="majorBidi" w:hint="cs"/>
          <w:rtl/>
        </w:rPr>
        <w:t xml:space="preserve">) وأن </w:t>
      </w:r>
      <w:r>
        <w:rPr>
          <w:rFonts w:asciiTheme="majorBidi" w:hAnsiTheme="majorBidi" w:cstheme="majorBidi"/>
        </w:rPr>
        <w:t>MICA-129 Met/Met</w:t>
      </w:r>
      <w:r>
        <w:rPr>
          <w:rFonts w:asciiTheme="majorBidi" w:hAnsiTheme="majorBidi" w:cstheme="majorBidi" w:hint="cs"/>
          <w:rtl/>
        </w:rPr>
        <w:t xml:space="preserve"> هو عامل حماية.</w:t>
      </w:r>
      <w:r>
        <w:rPr>
          <w:rFonts w:asciiTheme="majorBidi" w:hAnsiTheme="majorBidi" w:cstheme="majorBidi" w:hint="cs"/>
        </w:rPr>
        <w:t xml:space="preserve"> </w:t>
      </w:r>
      <w:r>
        <w:rPr>
          <w:rFonts w:asciiTheme="majorBidi" w:hAnsiTheme="majorBidi" w:cstheme="majorBidi" w:hint="cs"/>
          <w:rtl/>
        </w:rPr>
        <w:t xml:space="preserve">إن الدراسة للنمط الوراثي، </w:t>
      </w:r>
      <w:proofErr w:type="spellStart"/>
      <w:r>
        <w:rPr>
          <w:rFonts w:asciiTheme="majorBidi" w:hAnsiTheme="majorBidi" w:cstheme="majorBidi" w:hint="cs"/>
          <w:rtl/>
        </w:rPr>
        <w:t>الأليلي</w:t>
      </w:r>
      <w:proofErr w:type="spellEnd"/>
      <w:r>
        <w:rPr>
          <w:rFonts w:asciiTheme="majorBidi" w:hAnsiTheme="majorBidi" w:cstheme="majorBidi" w:hint="cs"/>
          <w:rtl/>
        </w:rPr>
        <w:t xml:space="preserve"> والتعدد </w:t>
      </w:r>
    </w:p>
    <w:p w:rsidR="006247E4" w:rsidRDefault="006247E4" w:rsidP="006247E4">
      <w:pPr>
        <w:bidi/>
        <w:spacing w:line="240" w:lineRule="exact"/>
        <w:jc w:val="both"/>
        <w:rPr>
          <w:rFonts w:asciiTheme="majorBidi" w:hAnsiTheme="majorBidi" w:cstheme="majorBidi"/>
        </w:rPr>
      </w:pPr>
    </w:p>
    <w:p w:rsidR="006247E4" w:rsidRDefault="006247E4" w:rsidP="006247E4">
      <w:pPr>
        <w:bidi/>
        <w:spacing w:line="240" w:lineRule="exact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</w:rPr>
        <w:t xml:space="preserve">الشكلي </w:t>
      </w:r>
      <w:proofErr w:type="spellStart"/>
      <w:r>
        <w:rPr>
          <w:rFonts w:asciiTheme="majorBidi" w:hAnsiTheme="majorBidi" w:cstheme="majorBidi" w:hint="cs"/>
          <w:rtl/>
        </w:rPr>
        <w:t>للسيتوكينات</w:t>
      </w:r>
      <w:proofErr w:type="spellEnd"/>
      <w:r>
        <w:rPr>
          <w:rFonts w:asciiTheme="majorBidi" w:hAnsiTheme="majorBidi" w:cstheme="majorBidi" w:hint="cs"/>
          <w:rtl/>
        </w:rPr>
        <w:t xml:space="preserve"> </w:t>
      </w:r>
      <w:r>
        <w:rPr>
          <w:rFonts w:asciiTheme="majorBidi" w:hAnsiTheme="majorBidi" w:cstheme="majorBidi" w:hint="cs"/>
          <w:b/>
          <w:bCs/>
          <w:rtl/>
        </w:rPr>
        <w:t>(</w:t>
      </w:r>
      <w:r>
        <w:rPr>
          <w:rFonts w:asciiTheme="majorBidi" w:hAnsiTheme="majorBidi" w:cstheme="majorBidi"/>
          <w:b/>
          <w:bCs/>
        </w:rPr>
        <w:t>cytokines</w:t>
      </w:r>
      <w:r>
        <w:rPr>
          <w:rFonts w:asciiTheme="majorBidi" w:hAnsiTheme="majorBidi" w:cstheme="majorBidi" w:hint="cs"/>
          <w:b/>
          <w:bCs/>
          <w:rtl/>
        </w:rPr>
        <w:t>)</w:t>
      </w:r>
      <w:r>
        <w:rPr>
          <w:rFonts w:asciiTheme="majorBidi" w:hAnsiTheme="majorBidi" w:cstheme="majorBidi" w:hint="cs"/>
          <w:rtl/>
        </w:rPr>
        <w:t xml:space="preserve"> الالتهابية (</w:t>
      </w:r>
      <w:r>
        <w:rPr>
          <w:rFonts w:asciiTheme="majorBidi" w:hAnsiTheme="majorBidi" w:cstheme="majorBidi"/>
        </w:rPr>
        <w:t>inflammatoires</w:t>
      </w:r>
      <w:r>
        <w:rPr>
          <w:rFonts w:asciiTheme="majorBidi" w:hAnsiTheme="majorBidi" w:cstheme="majorBidi" w:hint="cs"/>
          <w:rtl/>
        </w:rPr>
        <w:t>) وضدّ الالتهابية (</w:t>
      </w:r>
      <w:r>
        <w:rPr>
          <w:rFonts w:asciiTheme="majorBidi" w:hAnsiTheme="majorBidi" w:cstheme="majorBidi"/>
        </w:rPr>
        <w:t>anti-inflammatoires</w:t>
      </w:r>
      <w:r>
        <w:rPr>
          <w:rFonts w:asciiTheme="majorBidi" w:hAnsiTheme="majorBidi" w:cstheme="majorBidi" w:hint="cs"/>
          <w:rtl/>
        </w:rPr>
        <w:t xml:space="preserve">) تظهر صلة داء السكري </w:t>
      </w:r>
      <w:r>
        <w:rPr>
          <w:rFonts w:asciiTheme="majorBidi" w:hAnsiTheme="majorBidi" w:cstheme="majorBidi"/>
        </w:rPr>
        <w:t>DT1</w:t>
      </w:r>
      <w:r>
        <w:rPr>
          <w:rFonts w:asciiTheme="majorBidi" w:hAnsiTheme="majorBidi" w:cstheme="majorBidi" w:hint="cs"/>
          <w:rtl/>
        </w:rPr>
        <w:t xml:space="preserve"> مع التعدد الشكلي </w:t>
      </w:r>
      <w:r>
        <w:rPr>
          <w:rFonts w:asciiTheme="majorBidi" w:hAnsiTheme="majorBidi" w:cstheme="majorBidi"/>
        </w:rPr>
        <w:t>(-308G/A)</w:t>
      </w:r>
      <w:r>
        <w:rPr>
          <w:rFonts w:asciiTheme="majorBidi" w:hAnsiTheme="majorBidi" w:cstheme="majorBidi" w:hint="cs"/>
          <w:rtl/>
        </w:rPr>
        <w:t xml:space="preserve"> لمورثة </w:t>
      </w:r>
      <w:proofErr w:type="spellStart"/>
      <w:r>
        <w:rPr>
          <w:rFonts w:asciiTheme="majorBidi" w:hAnsiTheme="majorBidi" w:cstheme="majorBidi"/>
        </w:rPr>
        <w:t>TNF</w:t>
      </w:r>
      <w:r>
        <w:rPr>
          <w:rFonts w:asciiTheme="majorBidi" w:hAnsiTheme="majorBidi" w:cstheme="majorBidi"/>
          <w:vertAlign w:val="subscript"/>
        </w:rPr>
        <w:t>α</w:t>
      </w:r>
      <w:proofErr w:type="spellEnd"/>
      <w:r>
        <w:rPr>
          <w:rFonts w:asciiTheme="majorBidi" w:hAnsiTheme="majorBidi" w:cstheme="majorBidi" w:hint="cs"/>
          <w:rtl/>
        </w:rPr>
        <w:t xml:space="preserve"> إفراز ضعيف والتعدد الشكلي </w:t>
      </w:r>
      <w:r>
        <w:rPr>
          <w:rFonts w:asciiTheme="majorBidi" w:hAnsiTheme="majorBidi" w:cstheme="majorBidi"/>
        </w:rPr>
        <w:t>+874A/T</w:t>
      </w:r>
      <w:r>
        <w:rPr>
          <w:rFonts w:asciiTheme="majorBidi" w:hAnsiTheme="majorBidi" w:cstheme="majorBidi" w:hint="cs"/>
          <w:rtl/>
        </w:rPr>
        <w:t xml:space="preserve">، لمورثة </w:t>
      </w:r>
      <w:proofErr w:type="spellStart"/>
      <w:r>
        <w:rPr>
          <w:rFonts w:asciiTheme="majorBidi" w:hAnsiTheme="majorBidi" w:cstheme="majorBidi"/>
        </w:rPr>
        <w:t>IFNγ</w:t>
      </w:r>
      <w:proofErr w:type="spellEnd"/>
      <w:r>
        <w:rPr>
          <w:rFonts w:asciiTheme="majorBidi" w:hAnsiTheme="majorBidi" w:cstheme="majorBidi" w:hint="cs"/>
          <w:rtl/>
        </w:rPr>
        <w:t xml:space="preserve"> الموافقة للنمط الوراثي </w:t>
      </w:r>
      <w:r>
        <w:rPr>
          <w:rFonts w:asciiTheme="majorBidi" w:hAnsiTheme="majorBidi" w:cstheme="majorBidi"/>
        </w:rPr>
        <w:t>TA</w:t>
      </w:r>
      <w:r>
        <w:rPr>
          <w:rFonts w:asciiTheme="majorBidi" w:hAnsiTheme="majorBidi" w:cstheme="majorBidi" w:hint="cs"/>
          <w:rtl/>
        </w:rPr>
        <w:t xml:space="preserve"> مع إفراز معتدل</w:t>
      </w:r>
      <w:r>
        <w:rPr>
          <w:rFonts w:asciiTheme="majorBidi" w:hAnsiTheme="majorBidi" w:cstheme="majorBidi" w:hint="cs"/>
        </w:rPr>
        <w:t xml:space="preserve"> </w:t>
      </w:r>
      <w:r>
        <w:rPr>
          <w:rFonts w:asciiTheme="majorBidi" w:hAnsiTheme="majorBidi" w:cstheme="majorBidi" w:hint="cs"/>
          <w:rtl/>
        </w:rPr>
        <w:t>.</w:t>
      </w:r>
      <w:r>
        <w:rPr>
          <w:rFonts w:asciiTheme="majorBidi" w:hAnsiTheme="majorBidi" w:cstheme="majorBidi" w:hint="cs"/>
        </w:rPr>
        <w:t xml:space="preserve"> </w:t>
      </w:r>
      <w:r>
        <w:rPr>
          <w:rFonts w:asciiTheme="majorBidi" w:hAnsiTheme="majorBidi" w:cstheme="majorBidi" w:hint="cs"/>
          <w:rtl/>
        </w:rPr>
        <w:t xml:space="preserve">في الوقت نفسه، لم تسجّل أي صلة مع التعدد الشكلي </w:t>
      </w:r>
      <w:r>
        <w:rPr>
          <w:rFonts w:asciiTheme="majorBidi" w:hAnsiTheme="majorBidi" w:cstheme="majorBidi"/>
        </w:rPr>
        <w:t>-308G/A</w:t>
      </w:r>
      <w:r>
        <w:rPr>
          <w:rFonts w:asciiTheme="majorBidi" w:hAnsiTheme="majorBidi" w:cstheme="majorBidi" w:hint="cs"/>
          <w:rtl/>
        </w:rPr>
        <w:t xml:space="preserve"> لمورثة </w:t>
      </w:r>
      <w:r>
        <w:rPr>
          <w:rFonts w:asciiTheme="majorBidi" w:hAnsiTheme="majorBidi" w:cstheme="majorBidi"/>
        </w:rPr>
        <w:t>-174G/C</w:t>
      </w:r>
      <w:r>
        <w:rPr>
          <w:rFonts w:asciiTheme="majorBidi" w:hAnsiTheme="majorBidi" w:cstheme="majorBidi" w:hint="cs"/>
          <w:rtl/>
        </w:rPr>
        <w:t xml:space="preserve"> لمورثة </w:t>
      </w:r>
      <w:r>
        <w:rPr>
          <w:rFonts w:asciiTheme="majorBidi" w:hAnsiTheme="majorBidi" w:cstheme="majorBidi"/>
        </w:rPr>
        <w:t>IL-6</w:t>
      </w:r>
      <w:r>
        <w:rPr>
          <w:rFonts w:asciiTheme="majorBidi" w:hAnsiTheme="majorBidi" w:cstheme="majorBidi" w:hint="cs"/>
          <w:rtl/>
        </w:rPr>
        <w:t xml:space="preserve"> توافق النمط الوراثي </w:t>
      </w:r>
      <w:r>
        <w:rPr>
          <w:rFonts w:asciiTheme="majorBidi" w:hAnsiTheme="majorBidi" w:cstheme="majorBidi"/>
        </w:rPr>
        <w:t>CC</w:t>
      </w:r>
      <w:r>
        <w:rPr>
          <w:rFonts w:asciiTheme="majorBidi" w:hAnsiTheme="majorBidi" w:cstheme="majorBidi" w:hint="cs"/>
          <w:rtl/>
        </w:rPr>
        <w:t xml:space="preserve"> ، </w:t>
      </w:r>
      <w:r>
        <w:rPr>
          <w:rFonts w:asciiTheme="majorBidi" w:hAnsiTheme="majorBidi" w:cstheme="majorBidi"/>
        </w:rPr>
        <w:t>-1082A/G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-819C/T</w:t>
      </w:r>
      <w:r>
        <w:rPr>
          <w:rFonts w:asciiTheme="majorBidi" w:hAnsiTheme="majorBidi" w:cstheme="majorBidi" w:hint="cs"/>
          <w:rtl/>
        </w:rPr>
        <w:t xml:space="preserve"> و </w:t>
      </w:r>
      <w:r>
        <w:rPr>
          <w:rFonts w:asciiTheme="majorBidi" w:hAnsiTheme="majorBidi" w:cstheme="majorBidi"/>
        </w:rPr>
        <w:t>-592C/A</w:t>
      </w:r>
      <w:r>
        <w:rPr>
          <w:rFonts w:asciiTheme="majorBidi" w:hAnsiTheme="majorBidi" w:cstheme="majorBidi" w:hint="cs"/>
          <w:rtl/>
        </w:rPr>
        <w:t xml:space="preserve"> لمورثة </w:t>
      </w:r>
      <w:r>
        <w:rPr>
          <w:rFonts w:asciiTheme="majorBidi" w:hAnsiTheme="majorBidi" w:cstheme="majorBidi"/>
        </w:rPr>
        <w:t>IL-10</w:t>
      </w:r>
      <w:r>
        <w:rPr>
          <w:rFonts w:asciiTheme="majorBidi" w:hAnsiTheme="majorBidi" w:cstheme="majorBidi" w:hint="cs"/>
          <w:rtl/>
        </w:rPr>
        <w:t xml:space="preserve"> وأيضا </w:t>
      </w:r>
      <w:r>
        <w:rPr>
          <w:rFonts w:asciiTheme="majorBidi" w:hAnsiTheme="majorBidi" w:cstheme="majorBidi"/>
        </w:rPr>
        <w:t>+869T/C</w:t>
      </w:r>
      <w:r>
        <w:rPr>
          <w:rFonts w:asciiTheme="majorBidi" w:hAnsiTheme="majorBidi" w:cstheme="majorBidi" w:hint="cs"/>
          <w:rtl/>
        </w:rPr>
        <w:t xml:space="preserve">، </w:t>
      </w:r>
      <w:r>
        <w:rPr>
          <w:rFonts w:asciiTheme="majorBidi" w:hAnsiTheme="majorBidi" w:cstheme="majorBidi"/>
        </w:rPr>
        <w:t>+915G/C</w:t>
      </w:r>
      <w:r>
        <w:rPr>
          <w:rFonts w:asciiTheme="majorBidi" w:hAnsiTheme="majorBidi" w:cstheme="majorBidi" w:hint="cs"/>
          <w:rtl/>
        </w:rPr>
        <w:t xml:space="preserve"> لمورثة </w:t>
      </w:r>
      <w:proofErr w:type="spellStart"/>
      <w:r>
        <w:rPr>
          <w:rFonts w:asciiTheme="majorBidi" w:hAnsiTheme="majorBidi" w:cstheme="majorBidi"/>
        </w:rPr>
        <w:t>TGF</w:t>
      </w:r>
      <w:r>
        <w:rPr>
          <w:rFonts w:asciiTheme="majorBidi" w:hAnsiTheme="majorBidi" w:cstheme="majorBidi"/>
          <w:vertAlign w:val="subscript"/>
        </w:rPr>
        <w:t>β</w:t>
      </w:r>
      <w:proofErr w:type="spellEnd"/>
      <w:r>
        <w:rPr>
          <w:rFonts w:asciiTheme="majorBidi" w:hAnsiTheme="majorBidi" w:cstheme="majorBidi" w:hint="cs"/>
          <w:rtl/>
        </w:rPr>
        <w:t>.</w:t>
      </w:r>
    </w:p>
    <w:p w:rsidR="006247E4" w:rsidRDefault="006247E4" w:rsidP="006247E4">
      <w:pPr>
        <w:bidi/>
        <w:spacing w:line="240" w:lineRule="exact"/>
        <w:jc w:val="both"/>
        <w:rPr>
          <w:rFonts w:asciiTheme="majorBidi" w:hAnsiTheme="majorBidi" w:cstheme="majorBidi" w:hint="cs"/>
          <w:rtl/>
        </w:rPr>
      </w:pPr>
      <w:r>
        <w:rPr>
          <w:rFonts w:asciiTheme="majorBidi" w:hAnsiTheme="majorBidi" w:cstheme="majorBidi" w:hint="cs"/>
          <w:rtl/>
        </w:rPr>
        <w:t xml:space="preserve">أما بالنسبة لدراسة مضاعفات داء السكري </w:t>
      </w:r>
      <w:r>
        <w:rPr>
          <w:rFonts w:asciiTheme="majorBidi" w:hAnsiTheme="majorBidi" w:cstheme="majorBidi"/>
        </w:rPr>
        <w:t>DT1</w:t>
      </w:r>
      <w:r>
        <w:rPr>
          <w:rFonts w:asciiTheme="majorBidi" w:hAnsiTheme="majorBidi" w:cstheme="majorBidi" w:hint="cs"/>
          <w:rtl/>
        </w:rPr>
        <w:t xml:space="preserve">، النتائج </w:t>
      </w:r>
      <w:proofErr w:type="gramStart"/>
      <w:r>
        <w:rPr>
          <w:rFonts w:asciiTheme="majorBidi" w:hAnsiTheme="majorBidi" w:cstheme="majorBidi" w:hint="cs"/>
          <w:rtl/>
        </w:rPr>
        <w:t>أظهرت</w:t>
      </w:r>
      <w:proofErr w:type="gramEnd"/>
      <w:r>
        <w:rPr>
          <w:rFonts w:asciiTheme="majorBidi" w:hAnsiTheme="majorBidi" w:cstheme="majorBidi" w:hint="cs"/>
          <w:rtl/>
        </w:rPr>
        <w:t xml:space="preserve"> صلة</w:t>
      </w:r>
      <w:r>
        <w:rPr>
          <w:rFonts w:asciiTheme="majorBidi" w:hAnsiTheme="majorBidi" w:cstheme="majorBidi"/>
        </w:rPr>
        <w:t xml:space="preserve">(HLA-A29) </w:t>
      </w:r>
      <w:r>
        <w:rPr>
          <w:rFonts w:asciiTheme="majorBidi" w:hAnsiTheme="majorBidi" w:cstheme="majorBidi" w:hint="cs"/>
          <w:rtl/>
        </w:rPr>
        <w:t>بمرض القرنية وهو من التعقيدات البصرية المرتبطة بداء السكري الأكثر خطورة. وانتشار مرض المناعة الذاتية الدرقية مع داء السكري</w:t>
      </w:r>
      <w:r>
        <w:rPr>
          <w:rFonts w:asciiTheme="majorBidi" w:hAnsiTheme="majorBidi" w:cstheme="majorBidi"/>
        </w:rPr>
        <w:t>DT1</w:t>
      </w:r>
      <w:r>
        <w:rPr>
          <w:rFonts w:asciiTheme="majorBidi" w:hAnsiTheme="majorBidi" w:cstheme="majorBidi" w:hint="cs"/>
          <w:rtl/>
        </w:rPr>
        <w:t>.</w:t>
      </w:r>
    </w:p>
    <w:p w:rsidR="006247E4" w:rsidRDefault="006247E4" w:rsidP="006247E4">
      <w:pPr>
        <w:autoSpaceDE w:val="0"/>
        <w:autoSpaceDN w:val="0"/>
        <w:adjustRightInd w:val="0"/>
        <w:jc w:val="both"/>
        <w:rPr>
          <w:rFonts w:asciiTheme="majorBidi" w:hAnsiTheme="majorBidi" w:cstheme="majorBidi" w:hint="cs"/>
          <w:rtl/>
        </w:rPr>
      </w:pPr>
    </w:p>
    <w:p w:rsidR="006247E4" w:rsidRDefault="006247E4" w:rsidP="006247E4">
      <w:pPr>
        <w:autoSpaceDE w:val="0"/>
        <w:autoSpaceDN w:val="0"/>
        <w:adjustRightInd w:val="0"/>
        <w:spacing w:line="240" w:lineRule="exact"/>
        <w:jc w:val="both"/>
        <w:rPr>
          <w:rFonts w:asciiTheme="majorBidi" w:hAnsiTheme="majorBidi" w:cstheme="majorBidi"/>
          <w:b/>
          <w:bCs/>
          <w:lang w:val="en-GB"/>
        </w:rPr>
      </w:pPr>
      <w:r>
        <w:rPr>
          <w:rFonts w:asciiTheme="majorBidi" w:hAnsiTheme="majorBidi" w:cstheme="majorBidi"/>
          <w:b/>
          <w:bCs/>
          <w:lang w:val="en-GB"/>
        </w:rPr>
        <w:t xml:space="preserve">Summary </w:t>
      </w:r>
    </w:p>
    <w:p w:rsidR="006247E4" w:rsidRDefault="006247E4" w:rsidP="006247E4">
      <w:pPr>
        <w:autoSpaceDE w:val="0"/>
        <w:autoSpaceDN w:val="0"/>
        <w:adjustRightInd w:val="0"/>
        <w:spacing w:line="240" w:lineRule="exact"/>
        <w:jc w:val="both"/>
        <w:rPr>
          <w:rFonts w:asciiTheme="majorBidi" w:hAnsiTheme="majorBidi" w:cstheme="majorBidi"/>
          <w:lang w:val="en-GB"/>
        </w:rPr>
      </w:pPr>
    </w:p>
    <w:p w:rsidR="006247E4" w:rsidRDefault="006247E4" w:rsidP="006247E4">
      <w:pPr>
        <w:spacing w:line="240" w:lineRule="exact"/>
        <w:jc w:val="both"/>
        <w:rPr>
          <w:rFonts w:asciiTheme="majorBidi" w:hAnsiTheme="majorBidi" w:cstheme="majorBidi"/>
          <w:lang w:val="en-GB"/>
        </w:rPr>
      </w:pPr>
      <w:r>
        <w:rPr>
          <w:rFonts w:asciiTheme="majorBidi" w:hAnsiTheme="majorBidi" w:cstheme="majorBidi"/>
          <w:lang w:val="en-GB"/>
        </w:rPr>
        <w:t xml:space="preserve">Type </w:t>
      </w:r>
      <w:proofErr w:type="gramStart"/>
      <w:r>
        <w:rPr>
          <w:rFonts w:asciiTheme="majorBidi" w:hAnsiTheme="majorBidi" w:cstheme="majorBidi"/>
          <w:lang w:val="en-GB"/>
        </w:rPr>
        <w:t>1 diabetes</w:t>
      </w:r>
      <w:proofErr w:type="gramEnd"/>
      <w:r>
        <w:rPr>
          <w:rFonts w:asciiTheme="majorBidi" w:hAnsiTheme="majorBidi" w:cstheme="majorBidi"/>
          <w:lang w:val="en-GB"/>
        </w:rPr>
        <w:t xml:space="preserve"> (T1D) is a </w:t>
      </w:r>
      <w:proofErr w:type="spellStart"/>
      <w:r>
        <w:rPr>
          <w:rFonts w:asciiTheme="majorBidi" w:hAnsiTheme="majorBidi" w:cstheme="majorBidi"/>
          <w:lang w:val="en-GB"/>
        </w:rPr>
        <w:t>multifactorial</w:t>
      </w:r>
      <w:proofErr w:type="spellEnd"/>
      <w:r>
        <w:rPr>
          <w:rFonts w:asciiTheme="majorBidi" w:hAnsiTheme="majorBidi" w:cstheme="majorBidi"/>
          <w:lang w:val="en-GB"/>
        </w:rPr>
        <w:t xml:space="preserve"> autoimmune disease characterised by insulin deficiency, due to the T cell mediated destruction of pancreatic </w:t>
      </w:r>
      <w:r>
        <w:rPr>
          <w:rFonts w:asciiTheme="majorBidi" w:hAnsiTheme="majorBidi" w:cstheme="majorBidi"/>
        </w:rPr>
        <w:t>β</w:t>
      </w:r>
      <w:r>
        <w:rPr>
          <w:rFonts w:asciiTheme="majorBidi" w:hAnsiTheme="majorBidi" w:cstheme="majorBidi"/>
          <w:lang w:val="en-GB"/>
        </w:rPr>
        <w:t xml:space="preserve">-cells. Among the genetic determinants of susceptibility, with more than putative loci identified to date, a region in chromosome 6p21 (IDDM1) containing the Major </w:t>
      </w:r>
      <w:proofErr w:type="spellStart"/>
      <w:r>
        <w:rPr>
          <w:rFonts w:asciiTheme="majorBidi" w:hAnsiTheme="majorBidi" w:cstheme="majorBidi"/>
          <w:lang w:val="en-GB"/>
        </w:rPr>
        <w:t>Histocompatibility</w:t>
      </w:r>
      <w:proofErr w:type="spellEnd"/>
      <w:r>
        <w:rPr>
          <w:rFonts w:asciiTheme="majorBidi" w:hAnsiTheme="majorBidi" w:cstheme="majorBidi"/>
          <w:lang w:val="en-GB"/>
        </w:rPr>
        <w:t xml:space="preserve"> Complex (MHC) is the only one consistently associated with T1D in genome-wide screenings.</w:t>
      </w:r>
      <w:r>
        <w:rPr>
          <w:rFonts w:asciiTheme="majorBidi" w:hAnsiTheme="majorBidi" w:cstheme="majorBidi"/>
          <w:bCs/>
          <w:lang w:val="en-GB"/>
        </w:rPr>
        <w:t xml:space="preserve"> In this study, HLA class II antigens </w:t>
      </w:r>
      <w:r>
        <w:rPr>
          <w:rFonts w:asciiTheme="majorBidi" w:hAnsiTheme="majorBidi" w:cstheme="majorBidi"/>
          <w:lang w:val="en-GB"/>
        </w:rPr>
        <w:t>have been investigated, in 125 T1D patients and compared to 140 healthy controls. Significant differences were detected between T1D patient and control groups for HLA-DR3 -DR4 -DQ2 and -DQ8(DQ3 with the respective frequencies HLA -DR3 (66.67% ,70% vs. 31.43%), -DR4 (48.89%, 52.50% vs. 26.43%), -DQ2 (66.67%, 75% vs. 39.29%) and -DQ8(3) (46.67%, 47.50% vs. 19.29%) and alleles HLA- DRB1*0301,*0405 -DQB1*0201and *0302. we also identified significantly lower HLA antigen frequencies for -DR5, -DR15, -DQ6  indicating these antigens have a protective role in T1D disease.</w:t>
      </w:r>
    </w:p>
    <w:p w:rsidR="006247E4" w:rsidRDefault="006247E4" w:rsidP="006247E4">
      <w:pPr>
        <w:autoSpaceDE w:val="0"/>
        <w:autoSpaceDN w:val="0"/>
        <w:adjustRightInd w:val="0"/>
        <w:spacing w:line="240" w:lineRule="exact"/>
        <w:jc w:val="both"/>
        <w:rPr>
          <w:rFonts w:asciiTheme="majorBidi" w:hAnsiTheme="majorBidi" w:cstheme="majorBidi"/>
          <w:lang w:val="en-GB"/>
        </w:rPr>
      </w:pPr>
      <w:r>
        <w:rPr>
          <w:rFonts w:asciiTheme="majorBidi" w:hAnsiTheme="majorBidi" w:cstheme="majorBidi"/>
          <w:lang w:val="en-GB"/>
        </w:rPr>
        <w:t xml:space="preserve">Functionally relevant polymorphism of the </w:t>
      </w:r>
      <w:proofErr w:type="spellStart"/>
      <w:r>
        <w:rPr>
          <w:rFonts w:asciiTheme="majorBidi" w:hAnsiTheme="majorBidi" w:cstheme="majorBidi"/>
          <w:color w:val="231F20"/>
          <w:lang w:val="en-GB"/>
        </w:rPr>
        <w:t>histocompatibility</w:t>
      </w:r>
      <w:proofErr w:type="spellEnd"/>
      <w:r>
        <w:rPr>
          <w:rFonts w:asciiTheme="majorBidi" w:hAnsiTheme="majorBidi" w:cstheme="majorBidi"/>
          <w:color w:val="231F20"/>
          <w:lang w:val="en-GB"/>
        </w:rPr>
        <w:t xml:space="preserve"> complex (MHC) class I chain–related A (MICA) </w:t>
      </w:r>
      <w:r>
        <w:rPr>
          <w:rFonts w:asciiTheme="majorBidi" w:hAnsiTheme="majorBidi" w:cstheme="majorBidi"/>
          <w:lang w:val="en-GB"/>
        </w:rPr>
        <w:t xml:space="preserve">gene may also contribute to inter patient. We analyzed the predictive effect of the MICA-129 found that patients bearing the MICA-129 </w:t>
      </w:r>
      <w:proofErr w:type="spellStart"/>
      <w:r>
        <w:rPr>
          <w:rFonts w:asciiTheme="majorBidi" w:hAnsiTheme="majorBidi" w:cstheme="majorBidi"/>
          <w:lang w:val="en-GB"/>
        </w:rPr>
        <w:t>val</w:t>
      </w:r>
      <w:proofErr w:type="spellEnd"/>
      <w:r>
        <w:rPr>
          <w:rFonts w:asciiTheme="majorBidi" w:hAnsiTheme="majorBidi" w:cstheme="majorBidi"/>
          <w:lang w:val="en-GB"/>
        </w:rPr>
        <w:t>/</w:t>
      </w:r>
      <w:proofErr w:type="spellStart"/>
      <w:r>
        <w:rPr>
          <w:rFonts w:asciiTheme="majorBidi" w:hAnsiTheme="majorBidi" w:cstheme="majorBidi"/>
          <w:lang w:val="en-GB"/>
        </w:rPr>
        <w:t>val</w:t>
      </w:r>
      <w:proofErr w:type="spellEnd"/>
      <w:r>
        <w:rPr>
          <w:rFonts w:asciiTheme="majorBidi" w:hAnsiTheme="majorBidi" w:cstheme="majorBidi"/>
          <w:lang w:val="en-GB"/>
        </w:rPr>
        <w:t xml:space="preserve"> genotype were at a higher risk of developing T1D (63.89</w:t>
      </w:r>
      <w:r>
        <w:rPr>
          <w:rFonts w:asciiTheme="majorBidi" w:hAnsiTheme="majorBidi" w:cstheme="majorBidi"/>
          <w:i/>
          <w:iCs/>
          <w:lang w:val="en-GB"/>
        </w:rPr>
        <w:t xml:space="preserve">% vs. </w:t>
      </w:r>
      <w:r>
        <w:rPr>
          <w:rFonts w:asciiTheme="majorBidi" w:hAnsiTheme="majorBidi" w:cstheme="majorBidi"/>
          <w:lang w:val="en-GB"/>
        </w:rPr>
        <w:t>41.33</w:t>
      </w:r>
      <w:r>
        <w:rPr>
          <w:rFonts w:asciiTheme="majorBidi" w:hAnsiTheme="majorBidi" w:cstheme="majorBidi"/>
          <w:i/>
          <w:iCs/>
          <w:lang w:val="en-GB"/>
        </w:rPr>
        <w:t xml:space="preserve">%, OR= </w:t>
      </w:r>
      <w:r>
        <w:rPr>
          <w:rFonts w:asciiTheme="majorBidi" w:hAnsiTheme="majorBidi" w:cstheme="majorBidi"/>
          <w:lang w:val="en-GB"/>
        </w:rPr>
        <w:t>2.51</w:t>
      </w:r>
      <w:r>
        <w:rPr>
          <w:rFonts w:asciiTheme="majorBidi" w:hAnsiTheme="majorBidi" w:cstheme="majorBidi"/>
          <w:i/>
          <w:iCs/>
          <w:lang w:val="en-GB"/>
        </w:rPr>
        <w:t xml:space="preserve"> p =</w:t>
      </w:r>
      <w:r>
        <w:rPr>
          <w:rFonts w:asciiTheme="majorBidi" w:hAnsiTheme="majorBidi" w:cstheme="majorBidi"/>
          <w:lang w:val="en-GB"/>
        </w:rPr>
        <w:t>5.3 10</w:t>
      </w:r>
      <w:r>
        <w:rPr>
          <w:rFonts w:asciiTheme="majorBidi" w:hAnsiTheme="majorBidi" w:cstheme="majorBidi"/>
          <w:vertAlign w:val="superscript"/>
          <w:lang w:val="en-GB"/>
        </w:rPr>
        <w:t>˗3</w:t>
      </w:r>
      <w:r>
        <w:rPr>
          <w:rFonts w:asciiTheme="majorBidi" w:hAnsiTheme="majorBidi" w:cstheme="majorBidi"/>
          <w:lang w:val="en-GB"/>
        </w:rPr>
        <w:t xml:space="preserve">). </w:t>
      </w:r>
    </w:p>
    <w:p w:rsidR="006247E4" w:rsidRDefault="006247E4" w:rsidP="006247E4">
      <w:pPr>
        <w:jc w:val="both"/>
        <w:outlineLvl w:val="0"/>
        <w:rPr>
          <w:rFonts w:asciiTheme="majorBidi" w:hAnsiTheme="majorBidi" w:cstheme="majorBidi"/>
          <w:lang w:val="en-GB"/>
        </w:rPr>
      </w:pPr>
      <w:r>
        <w:rPr>
          <w:rFonts w:asciiTheme="majorBidi" w:hAnsiTheme="majorBidi" w:cstheme="majorBidi"/>
          <w:lang w:val="en-GB"/>
        </w:rPr>
        <w:t xml:space="preserve">The analysis of the polymorphism of cytokines pro inflammatory and anti-inflammatory, shows significantly higher frequency of IFN </w:t>
      </w:r>
      <w:r>
        <w:rPr>
          <w:rFonts w:asciiTheme="majorBidi" w:hAnsiTheme="majorBidi" w:cstheme="majorBidi"/>
          <w:lang w:val="en-GB" w:bidi="ar-DZ"/>
        </w:rPr>
        <w:sym w:font="Symbol" w:char="0067"/>
      </w:r>
      <w:r>
        <w:rPr>
          <w:rFonts w:asciiTheme="majorBidi" w:hAnsiTheme="majorBidi" w:cstheme="majorBidi"/>
          <w:lang w:val="en-GB" w:bidi="ar-DZ"/>
        </w:rPr>
        <w:t xml:space="preserve"> </w:t>
      </w:r>
      <w:r>
        <w:rPr>
          <w:rFonts w:asciiTheme="majorBidi" w:hAnsiTheme="majorBidi" w:cstheme="majorBidi"/>
          <w:vertAlign w:val="superscript"/>
          <w:lang w:val="en-GB"/>
        </w:rPr>
        <w:t>+874</w:t>
      </w:r>
      <w:r>
        <w:rPr>
          <w:rFonts w:asciiTheme="majorBidi" w:hAnsiTheme="majorBidi" w:cstheme="majorBidi"/>
          <w:lang w:val="en-GB"/>
        </w:rPr>
        <w:t xml:space="preserve"> T allele (</w:t>
      </w:r>
      <w:r>
        <w:rPr>
          <w:rFonts w:asciiTheme="majorBidi" w:eastAsia="Calibri" w:hAnsiTheme="majorBidi" w:cstheme="majorBidi"/>
          <w:bCs/>
          <w:lang w:val="en-GB"/>
        </w:rPr>
        <w:t>48.57% vs. 35.14%, p =</w:t>
      </w:r>
      <w:r>
        <w:rPr>
          <w:rFonts w:asciiTheme="majorBidi" w:hAnsiTheme="majorBidi" w:cstheme="majorBidi"/>
          <w:bCs/>
          <w:lang w:val="en-GB"/>
        </w:rPr>
        <w:t xml:space="preserve"> </w:t>
      </w:r>
      <w:r>
        <w:rPr>
          <w:rFonts w:asciiTheme="majorBidi" w:eastAsia="Calibri" w:hAnsiTheme="majorBidi" w:cstheme="majorBidi"/>
          <w:bCs/>
          <w:lang w:val="en-GB"/>
        </w:rPr>
        <w:t>0.041</w:t>
      </w:r>
      <w:r>
        <w:rPr>
          <w:rFonts w:asciiTheme="majorBidi" w:hAnsiTheme="majorBidi" w:cstheme="majorBidi"/>
          <w:bCs/>
          <w:lang w:val="en-GB"/>
        </w:rPr>
        <w:t>,</w:t>
      </w:r>
      <w:r>
        <w:rPr>
          <w:rFonts w:asciiTheme="majorBidi" w:eastAsia="Calibri" w:hAnsiTheme="majorBidi" w:cstheme="majorBidi"/>
          <w:bCs/>
          <w:lang w:val="en-GB"/>
        </w:rPr>
        <w:t xml:space="preserve"> OR = 1.75)</w:t>
      </w:r>
      <w:r>
        <w:rPr>
          <w:rFonts w:asciiTheme="majorBidi" w:hAnsiTheme="majorBidi" w:cstheme="majorBidi"/>
          <w:lang w:val="en-GB"/>
        </w:rPr>
        <w:t xml:space="preserve"> in T1D </w:t>
      </w:r>
      <w:r>
        <w:rPr>
          <w:rFonts w:asciiTheme="majorBidi" w:hAnsiTheme="majorBidi" w:cstheme="majorBidi"/>
          <w:i/>
          <w:lang w:val="en-GB"/>
        </w:rPr>
        <w:t>vs.</w:t>
      </w:r>
      <w:r>
        <w:rPr>
          <w:rFonts w:asciiTheme="majorBidi" w:hAnsiTheme="majorBidi" w:cstheme="majorBidi"/>
          <w:lang w:val="en-GB"/>
        </w:rPr>
        <w:t xml:space="preserve"> controls</w:t>
      </w:r>
      <w:r>
        <w:rPr>
          <w:rFonts w:asciiTheme="majorBidi" w:eastAsia="Calibri" w:hAnsiTheme="majorBidi" w:cstheme="majorBidi"/>
          <w:bCs/>
          <w:lang w:val="en-GB"/>
        </w:rPr>
        <w:t xml:space="preserve">. </w:t>
      </w:r>
      <w:r>
        <w:rPr>
          <w:rFonts w:asciiTheme="majorBidi" w:hAnsiTheme="majorBidi" w:cstheme="majorBidi"/>
          <w:lang w:val="en-GB"/>
        </w:rPr>
        <w:t>While significantly higher frequency of TNF α</w:t>
      </w:r>
      <w:r>
        <w:rPr>
          <w:rFonts w:asciiTheme="majorBidi" w:hAnsiTheme="majorBidi" w:cstheme="majorBidi"/>
          <w:vertAlign w:val="superscript"/>
          <w:lang w:val="en-GB"/>
        </w:rPr>
        <w:t xml:space="preserve">-308 </w:t>
      </w:r>
      <w:proofErr w:type="gramStart"/>
      <w:r>
        <w:rPr>
          <w:rFonts w:asciiTheme="majorBidi" w:hAnsiTheme="majorBidi" w:cstheme="majorBidi"/>
          <w:lang w:val="en-GB"/>
        </w:rPr>
        <w:t>A</w:t>
      </w:r>
      <w:proofErr w:type="gramEnd"/>
      <w:r>
        <w:rPr>
          <w:rFonts w:asciiTheme="majorBidi" w:hAnsiTheme="majorBidi" w:cstheme="majorBidi"/>
          <w:lang w:val="en-GB"/>
        </w:rPr>
        <w:t xml:space="preserve"> allele (</w:t>
      </w:r>
      <w:r>
        <w:rPr>
          <w:rFonts w:asciiTheme="majorBidi" w:eastAsia="Calibri" w:hAnsiTheme="majorBidi" w:cstheme="majorBidi"/>
          <w:lang w:val="en-GB"/>
        </w:rPr>
        <w:t xml:space="preserve">24.29% vs. 13.51%, p </w:t>
      </w:r>
      <w:r>
        <w:rPr>
          <w:rFonts w:asciiTheme="majorBidi" w:hAnsiTheme="majorBidi" w:cstheme="majorBidi"/>
          <w:lang w:val="en-GB"/>
        </w:rPr>
        <w:t xml:space="preserve">= </w:t>
      </w:r>
      <w:r>
        <w:rPr>
          <w:rFonts w:asciiTheme="majorBidi" w:eastAsia="Calibri" w:hAnsiTheme="majorBidi" w:cstheme="majorBidi"/>
          <w:lang w:val="en-GB"/>
        </w:rPr>
        <w:t>0.039, OR = 2.05</w:t>
      </w:r>
      <w:r>
        <w:rPr>
          <w:rFonts w:asciiTheme="majorBidi" w:hAnsiTheme="majorBidi" w:cstheme="majorBidi"/>
          <w:lang w:val="en-GB"/>
        </w:rPr>
        <w:t>) GA genotype (</w:t>
      </w:r>
      <w:r>
        <w:rPr>
          <w:rFonts w:asciiTheme="majorBidi" w:eastAsia="Calibri" w:hAnsiTheme="majorBidi" w:cstheme="majorBidi"/>
          <w:lang w:val="en-GB"/>
        </w:rPr>
        <w:t>42.86% vs. 24.32%, p</w:t>
      </w:r>
      <w:r>
        <w:rPr>
          <w:rFonts w:asciiTheme="majorBidi" w:hAnsiTheme="majorBidi" w:cstheme="majorBidi"/>
          <w:lang w:val="en-GB"/>
        </w:rPr>
        <w:t xml:space="preserve"> = 0.042</w:t>
      </w:r>
      <w:r>
        <w:rPr>
          <w:rFonts w:asciiTheme="majorBidi" w:eastAsia="Calibri" w:hAnsiTheme="majorBidi" w:cstheme="majorBidi"/>
          <w:lang w:val="en-GB"/>
        </w:rPr>
        <w:t>, OR = 2.33</w:t>
      </w:r>
      <w:r>
        <w:rPr>
          <w:rFonts w:asciiTheme="majorBidi" w:hAnsiTheme="majorBidi" w:cstheme="majorBidi"/>
          <w:lang w:val="en-GB"/>
        </w:rPr>
        <w:t>) corresponding to a higher secretion profile (</w:t>
      </w:r>
      <w:r>
        <w:rPr>
          <w:rFonts w:asciiTheme="majorBidi" w:eastAsia="Calibri" w:hAnsiTheme="majorBidi" w:cstheme="majorBidi"/>
          <w:bCs/>
          <w:lang w:val="en-GB"/>
        </w:rPr>
        <w:t xml:space="preserve">45.71% vs. 25.68%, p =0.032, OR =2.44). </w:t>
      </w:r>
      <w:r>
        <w:rPr>
          <w:rFonts w:asciiTheme="majorBidi" w:hAnsiTheme="majorBidi" w:cstheme="majorBidi"/>
          <w:lang w:val="en-GB"/>
        </w:rPr>
        <w:t>Regarding polymorphisms of IL-6, TGF-β1 and IL-10, no significant difference was observed between T1D and controls. These results suggest that the secretion low of IFN-γ and high secretion of TNF- α may play an important role in protection and susceptibility to T1D in the Algerian population.</w:t>
      </w:r>
    </w:p>
    <w:p w:rsidR="006247E4" w:rsidRDefault="006247E4" w:rsidP="006247E4">
      <w:pPr>
        <w:spacing w:line="240" w:lineRule="exact"/>
        <w:jc w:val="both"/>
        <w:rPr>
          <w:rFonts w:asciiTheme="majorBidi" w:hAnsiTheme="majorBidi" w:cstheme="majorBidi"/>
          <w:lang w:val="en-GB"/>
        </w:rPr>
      </w:pPr>
    </w:p>
    <w:p w:rsidR="00597A08" w:rsidRPr="006247E4" w:rsidRDefault="006247E4" w:rsidP="006247E4">
      <w:pPr>
        <w:spacing w:line="240" w:lineRule="exact"/>
        <w:jc w:val="both"/>
        <w:rPr>
          <w:rFonts w:asciiTheme="majorBidi" w:hAnsiTheme="majorBidi" w:cstheme="majorBidi"/>
          <w:lang w:val="en-GB"/>
        </w:rPr>
      </w:pPr>
      <w:r>
        <w:rPr>
          <w:rFonts w:asciiTheme="majorBidi" w:hAnsiTheme="majorBidi" w:cstheme="majorBidi"/>
          <w:lang w:val="en-GB"/>
        </w:rPr>
        <w:t xml:space="preserve">The results show also an association of the antigen HLA class I (HLA-A29) with the retinopathy which is the gravest eye complication, associated with the diabetes. </w:t>
      </w:r>
      <w:proofErr w:type="gramStart"/>
      <w:r>
        <w:rPr>
          <w:rFonts w:asciiTheme="majorBidi" w:hAnsiTheme="majorBidi" w:cstheme="majorBidi"/>
          <w:lang w:val="en-GB"/>
        </w:rPr>
        <w:t xml:space="preserve">And prevalence of the auto-immune </w:t>
      </w:r>
      <w:proofErr w:type="spellStart"/>
      <w:r>
        <w:rPr>
          <w:rFonts w:asciiTheme="majorBidi" w:hAnsiTheme="majorBidi" w:cstheme="majorBidi"/>
          <w:lang w:val="en-GB"/>
        </w:rPr>
        <w:t>thyroïdite</w:t>
      </w:r>
      <w:proofErr w:type="spellEnd"/>
      <w:r>
        <w:rPr>
          <w:rFonts w:asciiTheme="majorBidi" w:hAnsiTheme="majorBidi" w:cstheme="majorBidi"/>
          <w:lang w:val="en-GB"/>
        </w:rPr>
        <w:t xml:space="preserve"> with the T1D.</w:t>
      </w:r>
      <w:proofErr w:type="gramEnd"/>
      <w:r>
        <w:rPr>
          <w:rFonts w:asciiTheme="majorBidi" w:hAnsiTheme="majorBidi" w:cstheme="majorBidi"/>
          <w:lang w:val="en-GB"/>
        </w:rPr>
        <w:t xml:space="preserve">  </w:t>
      </w:r>
    </w:p>
    <w:sectPr w:rsidR="00597A08" w:rsidRPr="006247E4" w:rsidSect="00597A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47E4"/>
    <w:rsid w:val="00006DA1"/>
    <w:rsid w:val="00597A08"/>
    <w:rsid w:val="006247E4"/>
    <w:rsid w:val="00E212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7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006DA1"/>
    <w:pPr>
      <w:keepNext/>
      <w:spacing w:before="240" w:after="60" w:line="360" w:lineRule="auto"/>
      <w:ind w:left="851" w:firstLine="709"/>
      <w:jc w:val="both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qFormat/>
    <w:rsid w:val="00006DA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qFormat/>
    <w:rsid w:val="00006DA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qFormat/>
    <w:rsid w:val="00006DA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uiPriority w:val="9"/>
    <w:qFormat/>
    <w:rsid w:val="00006DA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uiPriority w:val="9"/>
    <w:qFormat/>
    <w:rsid w:val="00006DA1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"/>
    <w:qFormat/>
    <w:rsid w:val="00006DA1"/>
    <w:pPr>
      <w:spacing w:before="240" w:after="60"/>
      <w:outlineLvl w:val="6"/>
    </w:pPr>
  </w:style>
  <w:style w:type="paragraph" w:styleId="Titre8">
    <w:name w:val="heading 8"/>
    <w:basedOn w:val="Normal"/>
    <w:next w:val="Normal"/>
    <w:link w:val="Titre8Car"/>
    <w:uiPriority w:val="9"/>
    <w:qFormat/>
    <w:rsid w:val="00006DA1"/>
    <w:pPr>
      <w:spacing w:before="240" w:after="6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qFormat/>
    <w:rsid w:val="00006DA1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06DA1"/>
    <w:rPr>
      <w:rFonts w:ascii="Arial" w:eastAsia="Times New Roman" w:hAnsi="Arial" w:cs="Arial"/>
      <w:b/>
      <w:bCs/>
      <w:kern w:val="32"/>
      <w:sz w:val="32"/>
      <w:szCs w:val="32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006DA1"/>
    <w:rPr>
      <w:rFonts w:ascii="Arial" w:eastAsia="Times New Roman" w:hAnsi="Arial" w:cs="Arial"/>
      <w:b/>
      <w:bCs/>
      <w:i/>
      <w:iCs/>
      <w:sz w:val="28"/>
      <w:szCs w:val="28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006DA1"/>
    <w:rPr>
      <w:rFonts w:ascii="Arial" w:eastAsia="Times New Roman" w:hAnsi="Arial" w:cs="Arial"/>
      <w:b/>
      <w:bCs/>
      <w:sz w:val="26"/>
      <w:szCs w:val="26"/>
      <w:lang w:eastAsia="fr-FR"/>
    </w:rPr>
  </w:style>
  <w:style w:type="character" w:customStyle="1" w:styleId="Titre4Car">
    <w:name w:val="Titre 4 Car"/>
    <w:basedOn w:val="Policepardfaut"/>
    <w:link w:val="Titre4"/>
    <w:uiPriority w:val="9"/>
    <w:rsid w:val="00006DA1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Titre5Car">
    <w:name w:val="Titre 5 Car"/>
    <w:basedOn w:val="Policepardfaut"/>
    <w:link w:val="Titre5"/>
    <w:uiPriority w:val="9"/>
    <w:rsid w:val="00006DA1"/>
    <w:rPr>
      <w:rFonts w:ascii="Times New Roman" w:eastAsia="Times New Roman" w:hAnsi="Times New Roman" w:cs="Times New Roman"/>
      <w:b/>
      <w:bCs/>
      <w:i/>
      <w:iCs/>
      <w:sz w:val="26"/>
      <w:szCs w:val="26"/>
      <w:lang w:eastAsia="fr-FR"/>
    </w:rPr>
  </w:style>
  <w:style w:type="character" w:customStyle="1" w:styleId="Titre6Car">
    <w:name w:val="Titre 6 Car"/>
    <w:basedOn w:val="Policepardfaut"/>
    <w:link w:val="Titre6"/>
    <w:uiPriority w:val="9"/>
    <w:rsid w:val="00006DA1"/>
    <w:rPr>
      <w:rFonts w:ascii="Times New Roman" w:eastAsia="Times New Roman" w:hAnsi="Times New Roman" w:cs="Times New Roman"/>
      <w:b/>
      <w:bCs/>
      <w:lang w:eastAsia="fr-FR"/>
    </w:rPr>
  </w:style>
  <w:style w:type="character" w:customStyle="1" w:styleId="Titre7Car">
    <w:name w:val="Titre 7 Car"/>
    <w:basedOn w:val="Policepardfaut"/>
    <w:link w:val="Titre7"/>
    <w:uiPriority w:val="9"/>
    <w:rsid w:val="00006DA1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8Car">
    <w:name w:val="Titre 8 Car"/>
    <w:basedOn w:val="Policepardfaut"/>
    <w:link w:val="Titre8"/>
    <w:uiPriority w:val="9"/>
    <w:rsid w:val="00006DA1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9Car">
    <w:name w:val="Titre 9 Car"/>
    <w:basedOn w:val="Policepardfaut"/>
    <w:link w:val="Titre9"/>
    <w:uiPriority w:val="9"/>
    <w:rsid w:val="00006DA1"/>
    <w:rPr>
      <w:rFonts w:ascii="Arial" w:eastAsia="Times New Roman" w:hAnsi="Arial" w:cs="Arial"/>
      <w:lang w:eastAsia="fr-FR"/>
    </w:rPr>
  </w:style>
  <w:style w:type="paragraph" w:styleId="Lgende">
    <w:name w:val="caption"/>
    <w:basedOn w:val="Normal"/>
    <w:next w:val="Normal"/>
    <w:qFormat/>
    <w:rsid w:val="00006DA1"/>
    <w:rPr>
      <w:b/>
      <w:bCs/>
      <w:sz w:val="20"/>
      <w:szCs w:val="20"/>
    </w:rPr>
  </w:style>
  <w:style w:type="paragraph" w:styleId="Titre">
    <w:name w:val="Title"/>
    <w:basedOn w:val="Normal"/>
    <w:link w:val="TitreCar"/>
    <w:uiPriority w:val="10"/>
    <w:qFormat/>
    <w:rsid w:val="00006DA1"/>
    <w:pPr>
      <w:jc w:val="center"/>
    </w:pPr>
    <w:rPr>
      <w:smallCaps/>
      <w:sz w:val="32"/>
    </w:rPr>
  </w:style>
  <w:style w:type="character" w:customStyle="1" w:styleId="TitreCar">
    <w:name w:val="Titre Car"/>
    <w:basedOn w:val="Policepardfaut"/>
    <w:link w:val="Titre"/>
    <w:uiPriority w:val="10"/>
    <w:rsid w:val="00006DA1"/>
    <w:rPr>
      <w:rFonts w:ascii="Times New Roman" w:eastAsia="Times New Roman" w:hAnsi="Times New Roman" w:cs="Times New Roman"/>
      <w:smallCaps/>
      <w:sz w:val="32"/>
      <w:szCs w:val="24"/>
      <w:lang w:eastAsia="fr-FR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06DA1"/>
    <w:pPr>
      <w:spacing w:after="60"/>
      <w:jc w:val="center"/>
      <w:outlineLvl w:val="1"/>
    </w:pPr>
    <w:rPr>
      <w:rFonts w:ascii="Cambria" w:eastAsiaTheme="minorHAnsi" w:hAnsi="Cambria" w:cstheme="minorBidi"/>
      <w:lang w:eastAsia="en-US"/>
    </w:rPr>
  </w:style>
  <w:style w:type="character" w:customStyle="1" w:styleId="Sous-titreCar">
    <w:name w:val="Sous-titre Car"/>
    <w:basedOn w:val="Policepardfaut"/>
    <w:link w:val="Sous-titre"/>
    <w:uiPriority w:val="11"/>
    <w:rsid w:val="00006DA1"/>
    <w:rPr>
      <w:rFonts w:ascii="Cambria" w:hAnsi="Cambria"/>
      <w:sz w:val="24"/>
      <w:szCs w:val="24"/>
    </w:rPr>
  </w:style>
  <w:style w:type="character" w:styleId="lev">
    <w:name w:val="Strong"/>
    <w:basedOn w:val="Policepardfaut"/>
    <w:uiPriority w:val="22"/>
    <w:qFormat/>
    <w:rsid w:val="00006DA1"/>
    <w:rPr>
      <w:b/>
      <w:bCs/>
    </w:rPr>
  </w:style>
  <w:style w:type="character" w:styleId="Accentuation">
    <w:name w:val="Emphasis"/>
    <w:basedOn w:val="Policepardfaut"/>
    <w:uiPriority w:val="20"/>
    <w:qFormat/>
    <w:rsid w:val="00006DA1"/>
    <w:rPr>
      <w:i/>
      <w:iCs/>
    </w:rPr>
  </w:style>
  <w:style w:type="paragraph" w:styleId="Sansinterligne">
    <w:name w:val="No Spacing"/>
    <w:uiPriority w:val="1"/>
    <w:qFormat/>
    <w:rsid w:val="00006DA1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006DA1"/>
    <w:pPr>
      <w:ind w:left="708"/>
    </w:pPr>
  </w:style>
  <w:style w:type="paragraph" w:styleId="Citation">
    <w:name w:val="Quote"/>
    <w:basedOn w:val="Normal"/>
    <w:next w:val="Normal"/>
    <w:link w:val="CitationCar"/>
    <w:uiPriority w:val="29"/>
    <w:qFormat/>
    <w:rsid w:val="00006DA1"/>
    <w:rPr>
      <w:rFonts w:ascii="Calibri" w:eastAsiaTheme="minorHAnsi" w:hAnsi="Calibri" w:cstheme="minorBidi"/>
      <w:i/>
      <w:lang w:eastAsia="en-US"/>
    </w:rPr>
  </w:style>
  <w:style w:type="character" w:customStyle="1" w:styleId="CitationCar">
    <w:name w:val="Citation Car"/>
    <w:basedOn w:val="Policepardfaut"/>
    <w:link w:val="Citation"/>
    <w:uiPriority w:val="29"/>
    <w:rsid w:val="00006DA1"/>
    <w:rPr>
      <w:rFonts w:ascii="Calibri" w:hAnsi="Calibri"/>
      <w:i/>
      <w:sz w:val="24"/>
      <w:szCs w:val="24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06DA1"/>
    <w:pPr>
      <w:ind w:left="720" w:right="720"/>
    </w:pPr>
    <w:rPr>
      <w:rFonts w:ascii="Calibri" w:eastAsiaTheme="minorHAnsi" w:hAnsi="Calibri" w:cstheme="minorBidi"/>
      <w:b/>
      <w:i/>
      <w:szCs w:val="22"/>
      <w:lang w:eastAsia="en-US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06DA1"/>
    <w:rPr>
      <w:rFonts w:ascii="Calibri" w:hAnsi="Calibri"/>
      <w:b/>
      <w:i/>
      <w:sz w:val="24"/>
    </w:rPr>
  </w:style>
  <w:style w:type="character" w:styleId="Emphaseple">
    <w:name w:val="Subtle Emphasis"/>
    <w:basedOn w:val="Policepardfaut"/>
    <w:uiPriority w:val="19"/>
    <w:qFormat/>
    <w:rsid w:val="00006DA1"/>
    <w:rPr>
      <w:rFonts w:eastAsia="Times New Roman" w:cs="Times New Roman"/>
      <w:bCs w:val="0"/>
      <w:i/>
      <w:iCs/>
      <w:color w:val="808080"/>
      <w:szCs w:val="22"/>
      <w:lang w:val="fr-FR"/>
    </w:rPr>
  </w:style>
  <w:style w:type="character" w:styleId="Emphaseintense">
    <w:name w:val="Intense Emphasis"/>
    <w:basedOn w:val="Policepardfaut"/>
    <w:uiPriority w:val="21"/>
    <w:qFormat/>
    <w:rsid w:val="00006DA1"/>
    <w:rPr>
      <w:rFonts w:cs="Times New Roman"/>
      <w:b/>
      <w:i/>
      <w:sz w:val="24"/>
      <w:szCs w:val="24"/>
      <w:u w:val="single"/>
    </w:rPr>
  </w:style>
  <w:style w:type="character" w:styleId="Rfrenceple">
    <w:name w:val="Subtle Reference"/>
    <w:basedOn w:val="Policepardfaut"/>
    <w:uiPriority w:val="31"/>
    <w:qFormat/>
    <w:rsid w:val="00006DA1"/>
    <w:rPr>
      <w:rFonts w:cs="Times New Roman"/>
      <w:sz w:val="24"/>
      <w:szCs w:val="24"/>
      <w:u w:val="single"/>
    </w:rPr>
  </w:style>
  <w:style w:type="character" w:styleId="Rfrenceintense">
    <w:name w:val="Intense Reference"/>
    <w:basedOn w:val="Policepardfaut"/>
    <w:uiPriority w:val="32"/>
    <w:qFormat/>
    <w:rsid w:val="00006DA1"/>
    <w:rPr>
      <w:rFonts w:cs="Times New Roman"/>
      <w:b/>
      <w:sz w:val="24"/>
      <w:u w:val="single"/>
    </w:rPr>
  </w:style>
  <w:style w:type="character" w:styleId="Titredulivre">
    <w:name w:val="Book Title"/>
    <w:basedOn w:val="Policepardfaut"/>
    <w:uiPriority w:val="33"/>
    <w:qFormat/>
    <w:rsid w:val="00006DA1"/>
    <w:rPr>
      <w:rFonts w:ascii="Cambria" w:hAnsi="Cambria" w:cs="Times New Roman"/>
      <w:b/>
      <w:i/>
      <w:sz w:val="24"/>
      <w:szCs w:val="24"/>
    </w:rPr>
  </w:style>
  <w:style w:type="paragraph" w:styleId="En-ttedetabledesmatires">
    <w:name w:val="TOC Heading"/>
    <w:basedOn w:val="Titre1"/>
    <w:next w:val="Normal"/>
    <w:uiPriority w:val="39"/>
    <w:qFormat/>
    <w:rsid w:val="00006DA1"/>
    <w:pPr>
      <w:spacing w:line="240" w:lineRule="auto"/>
      <w:ind w:left="0" w:firstLine="0"/>
      <w:jc w:val="left"/>
      <w:outlineLvl w:val="9"/>
    </w:pPr>
    <w:rPr>
      <w:rFonts w:ascii="Cambria" w:hAnsi="Cambria" w:cs="Times New Roman"/>
      <w:lang w:val="en-US" w:eastAsia="en-US"/>
    </w:rPr>
  </w:style>
  <w:style w:type="paragraph" w:customStyle="1" w:styleId="DecimalAligned">
    <w:name w:val="Decimal Aligned"/>
    <w:basedOn w:val="Normal"/>
    <w:uiPriority w:val="40"/>
    <w:qFormat/>
    <w:rsid w:val="00006DA1"/>
    <w:pPr>
      <w:tabs>
        <w:tab w:val="decimal" w:pos="360"/>
      </w:tabs>
      <w:spacing w:after="200" w:line="276" w:lineRule="auto"/>
    </w:pPr>
    <w:rPr>
      <w:rFonts w:ascii="Calibri" w:hAnsi="Calibri"/>
      <w:sz w:val="22"/>
      <w:szCs w:val="22"/>
      <w:lang w:eastAsia="en-US"/>
    </w:rPr>
  </w:style>
  <w:style w:type="paragraph" w:styleId="Retraitcorpsdetexte">
    <w:name w:val="Body Text Indent"/>
    <w:basedOn w:val="Normal"/>
    <w:link w:val="RetraitcorpsdetexteCar"/>
    <w:semiHidden/>
    <w:unhideWhenUsed/>
    <w:rsid w:val="006247E4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semiHidden/>
    <w:rsid w:val="006247E4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longtext">
    <w:name w:val="long_text"/>
    <w:basedOn w:val="Policepardfaut"/>
    <w:rsid w:val="006247E4"/>
  </w:style>
  <w:style w:type="character" w:customStyle="1" w:styleId="apple-style-span">
    <w:name w:val="apple-style-span"/>
    <w:basedOn w:val="Policepardfaut"/>
    <w:rsid w:val="006247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996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1039</Words>
  <Characters>5719</Characters>
  <Application>Microsoft Office Word</Application>
  <DocSecurity>0</DocSecurity>
  <Lines>47</Lines>
  <Paragraphs>13</Paragraphs>
  <ScaleCrop>false</ScaleCrop>
  <Company>Hewlett-Packard</Company>
  <LinksUpToDate>false</LinksUpToDate>
  <CharactersWithSpaces>6745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rachida</dc:creator>
  <cp:lastModifiedBy>rachida</cp:lastModifiedBy>
  <cp:revision>1</cp:revision>
  <dcterms:created xsi:type="dcterms:W3CDTF">2012-09-25T12:45:00Z</dcterms:created>
  <dcterms:modified xsi:type="dcterms:W3CDTF">2012-09-25T12:46:00Z</dcterms:modified>
</cp:coreProperties>
</file>