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2CD9" w:rsidRPr="001F2CD9" w:rsidRDefault="001F2CD9" w:rsidP="001F2CD9">
      <w:pPr>
        <w:bidi w:val="0"/>
        <w:rPr>
          <w:lang w:val="fr-FR" w:bidi="ar-DZ"/>
        </w:rPr>
      </w:pPr>
      <w:r w:rsidRPr="001F2CD9">
        <w:rPr>
          <w:lang w:val="fr-FR" w:bidi="ar-DZ"/>
        </w:rPr>
        <w:t>Les structures en coques minces interviennent fréquemment dans les ouvrages de génie civil, jusqu'à en constituer parfois les éléments principaux comme c'est le cas notamment dans les ouvrages de stockage.</w:t>
      </w:r>
    </w:p>
    <w:p w:rsidR="001F2CD9" w:rsidRPr="001F2CD9" w:rsidRDefault="001F2CD9" w:rsidP="001F2CD9">
      <w:pPr>
        <w:bidi w:val="0"/>
        <w:rPr>
          <w:lang w:val="fr-FR" w:bidi="ar-DZ"/>
        </w:rPr>
      </w:pPr>
      <w:r w:rsidRPr="001F2CD9">
        <w:rPr>
          <w:lang w:val="fr-FR" w:bidi="ar-DZ"/>
        </w:rPr>
        <w:t>Ces ouvrages minces sont susceptibles de flamber sous des conditions sévères d'utilisation, telles les secousses sismiques.</w:t>
      </w:r>
    </w:p>
    <w:p w:rsidR="00BD36FC" w:rsidRPr="001F2CD9" w:rsidRDefault="001F2CD9" w:rsidP="001F2CD9">
      <w:pPr>
        <w:bidi w:val="0"/>
        <w:rPr>
          <w:rFonts w:hint="cs"/>
          <w:lang w:val="fr-FR" w:bidi="ar-DZ"/>
        </w:rPr>
      </w:pPr>
      <w:r w:rsidRPr="001F2CD9">
        <w:rPr>
          <w:lang w:val="fr-FR" w:bidi="ar-DZ"/>
        </w:rPr>
        <w:t>Le présent travail qui traite du flambement dynamique des coques minces en général et en zones sismiques en particulier comporte trois parties. Dans la première partie, un élément fini de coque contenant des degrés de liberté rotationnels du type drilling est développé en statique et dynamique et en régimes linéaire et non linéaire. Et même si le développement est fait dans un contexte général, cet outil de base est spécialement dédié à la modélisation pratique des ouvrages traités en troisième partie. Dans la seconde partie, le flambement dynamique est analysé numériquement en utilisant plusieurs critères de stabilité et en étudiant les effets des paramètres géométriques et mécaniques les plus influents. La troisième partie est consacrée à l'étude du flambement dynamique en zones sismiques en considérant l'exemple des réservoirs métalliques encastrés. Une étude des différents aspects du comportement des réservoirs métalliques a permis de dégager les insuffisances dont souffrent les praticiens dans ce domaine. Un modèle mathématique simplifié pour la prise en compte de l'interaction fluide/structure a été développé et utilisé conjointement avec l'élément fini DDSE pour modéliser le comportement du système réservoir/fluide sous chargement sismique. Ce modèle a permis de mettre en évidence le flambement dynamique mais permet également d'étudier le comportement global du système. Une analyse paramétrique a permis également de discuter certains aspects non considérés dans les codes réglementaires en vigueur.</w:t>
      </w:r>
    </w:p>
    <w:sectPr w:rsidR="00BD36FC" w:rsidRPr="001F2CD9"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F2CD9"/>
    <w:rsid w:val="001F2CD9"/>
    <w:rsid w:val="006D5754"/>
    <w:rsid w:val="00BD36F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36F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277</Words>
  <Characters>1583</Characters>
  <Application>Microsoft Office Word</Application>
  <DocSecurity>0</DocSecurity>
  <Lines>13</Lines>
  <Paragraphs>3</Paragraphs>
  <ScaleCrop>false</ScaleCrop>
  <Company/>
  <LinksUpToDate>false</LinksUpToDate>
  <CharactersWithSpaces>1857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2014-12-09T10:07:00Z</dcterms:created>
  <dcterms:modified xsi:type="dcterms:W3CDTF">2014-12-09T10:07:00Z</dcterms:modified>
</cp:coreProperties>
</file>