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1B5E" w:rsidRPr="00291B5E" w:rsidRDefault="00291B5E" w:rsidP="00291B5E">
      <w:pPr>
        <w:rPr>
          <w:noProof/>
          <w:sz w:val="32"/>
          <w:szCs w:val="32"/>
        </w:rPr>
      </w:pPr>
      <w:r w:rsidRPr="00291B5E">
        <w:rPr>
          <w:noProof/>
          <w:sz w:val="32"/>
          <w:szCs w:val="32"/>
        </w:rPr>
        <w:t>Le travail présenté dans ce mémoire s’inscrit dans la continuité de la synthèse</w:t>
      </w:r>
      <w:r>
        <w:rPr>
          <w:noProof/>
          <w:sz w:val="32"/>
          <w:szCs w:val="32"/>
        </w:rPr>
        <w:t xml:space="preserve"> </w:t>
      </w:r>
      <w:r w:rsidRPr="00291B5E">
        <w:rPr>
          <w:noProof/>
          <w:sz w:val="32"/>
          <w:szCs w:val="32"/>
        </w:rPr>
        <w:t>de composés hétérocycliques à sept chaînons Cette étude a été élargie à l’homologue dihydrogéné de l’acide</w:t>
      </w:r>
    </w:p>
    <w:p w:rsidR="00291B5E" w:rsidRPr="00291B5E" w:rsidRDefault="00291B5E" w:rsidP="00291B5E">
      <w:pPr>
        <w:rPr>
          <w:noProof/>
          <w:sz w:val="32"/>
          <w:szCs w:val="32"/>
        </w:rPr>
      </w:pPr>
      <w:r w:rsidRPr="00291B5E">
        <w:rPr>
          <w:noProof/>
          <w:sz w:val="32"/>
          <w:szCs w:val="32"/>
        </w:rPr>
        <w:t>déhydroacétique.</w:t>
      </w:r>
    </w:p>
    <w:p w:rsidR="00291B5E" w:rsidRPr="00291B5E" w:rsidRDefault="00291B5E" w:rsidP="00291B5E">
      <w:pPr>
        <w:rPr>
          <w:noProof/>
          <w:sz w:val="32"/>
          <w:szCs w:val="32"/>
        </w:rPr>
      </w:pPr>
      <w:r w:rsidRPr="00291B5E">
        <w:rPr>
          <w:noProof/>
          <w:sz w:val="32"/>
          <w:szCs w:val="32"/>
        </w:rPr>
        <w:t>Le premier chapitre tente de faire le point sur l’utilisation du DHA et de</w:t>
      </w:r>
      <w:r>
        <w:rPr>
          <w:noProof/>
          <w:sz w:val="32"/>
          <w:szCs w:val="32"/>
        </w:rPr>
        <w:t xml:space="preserve"> </w:t>
      </w:r>
      <w:r w:rsidRPr="00291B5E">
        <w:rPr>
          <w:noProof/>
          <w:sz w:val="32"/>
          <w:szCs w:val="32"/>
        </w:rPr>
        <w:t>quelques uns de ses dérivés (DHA dihydrogéné, la TAL et la TAL dihydrogéné) vis à</w:t>
      </w:r>
    </w:p>
    <w:p w:rsidR="00291B5E" w:rsidRPr="00291B5E" w:rsidRDefault="00291B5E" w:rsidP="00291B5E">
      <w:pPr>
        <w:rPr>
          <w:noProof/>
          <w:sz w:val="32"/>
          <w:szCs w:val="32"/>
        </w:rPr>
      </w:pPr>
      <w:r w:rsidRPr="00291B5E">
        <w:rPr>
          <w:noProof/>
          <w:sz w:val="32"/>
          <w:szCs w:val="32"/>
        </w:rPr>
        <w:t>vis des composés aminés.</w:t>
      </w:r>
    </w:p>
    <w:p w:rsidR="00291B5E" w:rsidRPr="00291B5E" w:rsidRDefault="00291B5E" w:rsidP="00291B5E">
      <w:pPr>
        <w:rPr>
          <w:noProof/>
          <w:sz w:val="32"/>
          <w:szCs w:val="32"/>
        </w:rPr>
      </w:pPr>
      <w:r w:rsidRPr="00291B5E">
        <w:rPr>
          <w:noProof/>
          <w:sz w:val="32"/>
          <w:szCs w:val="32"/>
        </w:rPr>
        <w:t>Le deuxième chapitre est consacré à l’action des 1,2-diamines aliphatiques</w:t>
      </w:r>
      <w:r>
        <w:rPr>
          <w:noProof/>
          <w:sz w:val="32"/>
          <w:szCs w:val="32"/>
        </w:rPr>
        <w:t xml:space="preserve"> </w:t>
      </w:r>
      <w:r w:rsidRPr="00291B5E">
        <w:rPr>
          <w:noProof/>
          <w:sz w:val="32"/>
          <w:szCs w:val="32"/>
        </w:rPr>
        <w:t>différemment substitués sur le DHA et son homologue hydrogéné.</w:t>
      </w:r>
    </w:p>
    <w:p w:rsidR="002A6604" w:rsidRPr="00291B5E" w:rsidRDefault="00291B5E" w:rsidP="00291B5E">
      <w:pPr>
        <w:rPr>
          <w:noProof/>
          <w:sz w:val="32"/>
          <w:szCs w:val="32"/>
          <w:rtl/>
        </w:rPr>
      </w:pPr>
      <w:r w:rsidRPr="00291B5E">
        <w:rPr>
          <w:noProof/>
          <w:sz w:val="32"/>
          <w:szCs w:val="32"/>
        </w:rPr>
        <w:t>Dans le troisième chapitre, nous étudierons les possibilités d’obtention de la</w:t>
      </w:r>
      <w:r>
        <w:rPr>
          <w:noProof/>
          <w:sz w:val="32"/>
          <w:szCs w:val="32"/>
        </w:rPr>
        <w:t xml:space="preserve"> </w:t>
      </w:r>
      <w:r w:rsidRPr="00291B5E">
        <w:rPr>
          <w:noProof/>
          <w:sz w:val="32"/>
          <w:szCs w:val="32"/>
        </w:rPr>
        <w:t>structure 1,4-diazépine à partir des intermédiaires décrits au chapitre précédent.</w:t>
      </w:r>
    </w:p>
    <w:p w:rsidR="00793BD2" w:rsidRPr="002A6604" w:rsidRDefault="00793BD2" w:rsidP="002A6604">
      <w:pPr>
        <w:rPr>
          <w:lang w:bidi="ar-DZ"/>
        </w:rPr>
      </w:pPr>
    </w:p>
    <w:sectPr w:rsidR="00793BD2" w:rsidRPr="002A6604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91B5E"/>
    <w:rsid w:val="002A6604"/>
    <w:rsid w:val="004E21CC"/>
    <w:rsid w:val="005F47AF"/>
    <w:rsid w:val="006A108A"/>
    <w:rsid w:val="00730B08"/>
    <w:rsid w:val="00793BD2"/>
    <w:rsid w:val="00A33BCB"/>
    <w:rsid w:val="00DB67EC"/>
    <w:rsid w:val="00E34C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102</Words>
  <Characters>585</Characters>
  <Application>Microsoft Office Word</Application>
  <DocSecurity>0</DocSecurity>
  <Lines>4</Lines>
  <Paragraphs>1</Paragraphs>
  <ScaleCrop>false</ScaleCrop>
  <Company/>
  <LinksUpToDate>false</LinksUpToDate>
  <CharactersWithSpaces>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7</cp:revision>
  <dcterms:created xsi:type="dcterms:W3CDTF">2015-01-07T09:27:00Z</dcterms:created>
  <dcterms:modified xsi:type="dcterms:W3CDTF">2015-01-08T11:13:00Z</dcterms:modified>
</cp:coreProperties>
</file>