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5C4E" w:rsidRPr="00E95C4E" w:rsidRDefault="00E95C4E" w:rsidP="00E95C4E">
      <w:pPr>
        <w:bidi w:val="0"/>
        <w:rPr>
          <w:lang w:val="fr-FR" w:bidi="ar-DZ"/>
        </w:rPr>
      </w:pPr>
      <w:r w:rsidRPr="00E95C4E">
        <w:rPr>
          <w:lang w:val="fr-FR" w:bidi="ar-DZ"/>
        </w:rPr>
        <w:t xml:space="preserve">   Les hétérocycles azotés constituent des sous structures essentielles dont de nombreuses substances</w:t>
      </w:r>
    </w:p>
    <w:p w:rsidR="00E95C4E" w:rsidRPr="00E95C4E" w:rsidRDefault="00E95C4E" w:rsidP="00E95C4E">
      <w:pPr>
        <w:bidi w:val="0"/>
        <w:rPr>
          <w:lang w:val="fr-FR" w:bidi="ar-DZ"/>
        </w:rPr>
      </w:pPr>
      <w:r w:rsidRPr="00E95C4E">
        <w:rPr>
          <w:lang w:val="fr-FR" w:bidi="ar-DZ"/>
        </w:rPr>
        <w:t xml:space="preserve"> naturelles biologiquement actifs. Dans cette optique, le travail présenté dans ce mémoire a pour but </w:t>
      </w:r>
    </w:p>
    <w:p w:rsidR="00E95C4E" w:rsidRPr="00E95C4E" w:rsidRDefault="00E95C4E" w:rsidP="00E95C4E">
      <w:pPr>
        <w:bidi w:val="0"/>
        <w:rPr>
          <w:lang w:val="fr-FR" w:bidi="ar-DZ"/>
        </w:rPr>
      </w:pPr>
      <w:r w:rsidRPr="00E95C4E">
        <w:rPr>
          <w:lang w:val="fr-FR" w:bidi="ar-DZ"/>
        </w:rPr>
        <w:t xml:space="preserve"> d’explorer les stratégies de synthèse qui permettront l’accès à des systèmes hétérocycliques fonctionnels</w:t>
      </w:r>
    </w:p>
    <w:p w:rsidR="00E95C4E" w:rsidRPr="00E95C4E" w:rsidRDefault="00E95C4E" w:rsidP="00E95C4E">
      <w:pPr>
        <w:bidi w:val="0"/>
        <w:rPr>
          <w:lang w:val="fr-FR" w:bidi="ar-DZ"/>
        </w:rPr>
      </w:pPr>
      <w:r w:rsidRPr="00E95C4E">
        <w:rPr>
          <w:lang w:val="fr-FR" w:bidi="ar-DZ"/>
        </w:rPr>
        <w:t xml:space="preserve"> potentiellement bioactifs. Nous avons étudié dans un premier temps, la réaction de condensation des</w:t>
      </w:r>
    </w:p>
    <w:p w:rsidR="00E95C4E" w:rsidRPr="00E95C4E" w:rsidRDefault="00E95C4E" w:rsidP="00E95C4E">
      <w:pPr>
        <w:bidi w:val="0"/>
        <w:rPr>
          <w:lang w:val="fr-FR" w:bidi="ar-DZ"/>
        </w:rPr>
      </w:pPr>
      <w:r w:rsidRPr="00E95C4E">
        <w:rPr>
          <w:lang w:val="fr-FR" w:bidi="ar-DZ"/>
        </w:rPr>
        <w:t xml:space="preserve"> binucléophiles aromatiques différemment substituées sur la 3-acetyltetrahydro-2-furanone. Dans un deuxième</w:t>
      </w:r>
    </w:p>
    <w:p w:rsidR="00E95C4E" w:rsidRPr="00E95C4E" w:rsidRDefault="00E95C4E" w:rsidP="00E95C4E">
      <w:pPr>
        <w:bidi w:val="0"/>
        <w:rPr>
          <w:lang w:val="fr-FR" w:bidi="ar-DZ"/>
        </w:rPr>
      </w:pPr>
      <w:r w:rsidRPr="00E95C4E">
        <w:rPr>
          <w:lang w:val="fr-FR" w:bidi="ar-DZ"/>
        </w:rPr>
        <w:t xml:space="preserve"> temps, nous avons exploité les potentialités synthétiques de la dihydropyrone dans une réaction de </w:t>
      </w:r>
    </w:p>
    <w:p w:rsidR="00E95C4E" w:rsidRPr="00E95C4E" w:rsidRDefault="00E95C4E" w:rsidP="00E95C4E">
      <w:pPr>
        <w:bidi w:val="0"/>
        <w:rPr>
          <w:lang w:val="fr-FR" w:bidi="ar-DZ"/>
        </w:rPr>
      </w:pPr>
      <w:r w:rsidRPr="00E95C4E">
        <w:rPr>
          <w:lang w:val="fr-FR" w:bidi="ar-DZ"/>
        </w:rPr>
        <w:t xml:space="preserve"> condensation avec les orthophénylène-diamines substituées conduisant à des structures de type énaminone, </w:t>
      </w:r>
    </w:p>
    <w:p w:rsidR="00E95C4E" w:rsidRPr="00E95C4E" w:rsidRDefault="00E95C4E" w:rsidP="00E95C4E">
      <w:pPr>
        <w:bidi w:val="0"/>
        <w:rPr>
          <w:lang w:val="fr-FR" w:bidi="ar-DZ"/>
        </w:rPr>
      </w:pPr>
      <w:r w:rsidRPr="00E95C4E">
        <w:rPr>
          <w:lang w:val="fr-FR" w:bidi="ar-DZ"/>
        </w:rPr>
        <w:t xml:space="preserve"> précurseurs clés de ce travail. L’action du phényl-isothiocyanate sur ces dernières conduit à la formation d’un</w:t>
      </w:r>
    </w:p>
    <w:p w:rsidR="00E95C4E" w:rsidRPr="00E95C4E" w:rsidRDefault="00E95C4E" w:rsidP="00E95C4E">
      <w:pPr>
        <w:bidi w:val="0"/>
        <w:rPr>
          <w:lang w:val="fr-FR" w:bidi="ar-DZ"/>
        </w:rPr>
      </w:pPr>
      <w:r w:rsidRPr="00E95C4E">
        <w:rPr>
          <w:lang w:val="fr-FR" w:bidi="ar-DZ"/>
        </w:rPr>
        <w:t xml:space="preserve"> motif hétérocyclique de type Benzimidazol-2-thione  N-substitué au reflux de l’éthanol ou sous irradiations</w:t>
      </w:r>
    </w:p>
    <w:p w:rsidR="00E95C4E" w:rsidRPr="00E95C4E" w:rsidRDefault="00E95C4E" w:rsidP="00E95C4E">
      <w:pPr>
        <w:bidi w:val="0"/>
        <w:rPr>
          <w:lang w:val="fr-FR" w:bidi="ar-DZ"/>
        </w:rPr>
      </w:pPr>
      <w:r w:rsidRPr="00E95C4E">
        <w:rPr>
          <w:lang w:val="fr-FR" w:bidi="ar-DZ"/>
        </w:rPr>
        <w:t xml:space="preserve"> aux micro-ondes à sec. L’action du benzoyl-isothiocyanate nous a permis d’isoler une nouvelle classe de</w:t>
      </w:r>
    </w:p>
    <w:p w:rsidR="00E95C4E" w:rsidRPr="00E95C4E" w:rsidRDefault="00E95C4E" w:rsidP="00E95C4E">
      <w:pPr>
        <w:bidi w:val="0"/>
        <w:rPr>
          <w:lang w:val="fr-FR" w:bidi="ar-DZ"/>
        </w:rPr>
      </w:pPr>
      <w:r w:rsidRPr="00E95C4E">
        <w:rPr>
          <w:lang w:val="fr-FR" w:bidi="ar-DZ"/>
        </w:rPr>
        <w:t xml:space="preserve"> composés polyfonctionnels incorporant le motif thio-urée N,N-disubstitués. Les structures des produits</w:t>
      </w:r>
    </w:p>
    <w:p w:rsidR="00E95C4E" w:rsidRPr="00E95C4E" w:rsidRDefault="00E95C4E" w:rsidP="00E95C4E">
      <w:pPr>
        <w:bidi w:val="0"/>
        <w:rPr>
          <w:lang w:val="fr-FR" w:bidi="ar-DZ"/>
        </w:rPr>
      </w:pPr>
      <w:r w:rsidRPr="00E95C4E">
        <w:rPr>
          <w:lang w:val="fr-FR" w:bidi="ar-DZ"/>
        </w:rPr>
        <w:t xml:space="preserve"> synthétisés ont été établies sur la base des données RMN 1H et IR. L’évaluation de l’activité antibactérienne</w:t>
      </w:r>
    </w:p>
    <w:p w:rsidR="00E95C4E" w:rsidRPr="00E95C4E" w:rsidRDefault="00E95C4E" w:rsidP="00E95C4E">
      <w:pPr>
        <w:bidi w:val="0"/>
        <w:rPr>
          <w:lang w:val="fr-FR" w:bidi="ar-DZ"/>
        </w:rPr>
      </w:pPr>
      <w:r w:rsidRPr="00E95C4E">
        <w:rPr>
          <w:lang w:val="fr-FR" w:bidi="ar-DZ"/>
        </w:rPr>
        <w:t xml:space="preserve"> de ces composés a révélé une activité inhibitrice modérée sur certaines souches microbiennes telles que : </w:t>
      </w:r>
    </w:p>
    <w:p w:rsidR="00017A82" w:rsidRPr="00E95C4E" w:rsidRDefault="00E95C4E" w:rsidP="00E95C4E">
      <w:pPr>
        <w:bidi w:val="0"/>
        <w:rPr>
          <w:rFonts w:hint="cs"/>
          <w:lang w:val="fr-FR" w:bidi="ar-DZ"/>
        </w:rPr>
      </w:pPr>
      <w:r w:rsidRPr="00E95C4E">
        <w:rPr>
          <w:lang w:val="fr-FR" w:bidi="ar-DZ"/>
        </w:rPr>
        <w:t xml:space="preserve"> Escherichia-coli, Staphylococcus-Aureus et Candida-Albicans</w:t>
      </w:r>
    </w:p>
    <w:sectPr w:rsidR="00017A82" w:rsidRPr="00E95C4E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E95C4E"/>
    <w:rsid w:val="00017A82"/>
    <w:rsid w:val="005F47AF"/>
    <w:rsid w:val="00E95C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17A82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214</Words>
  <Characters>1226</Characters>
  <Application>Microsoft Office Word</Application>
  <DocSecurity>0</DocSecurity>
  <Lines>10</Lines>
  <Paragraphs>2</Paragraphs>
  <ScaleCrop>false</ScaleCrop>
  <Company/>
  <LinksUpToDate>false</LinksUpToDate>
  <CharactersWithSpaces>1438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</cp:revision>
  <dcterms:created xsi:type="dcterms:W3CDTF">2015-10-21T12:57:00Z</dcterms:created>
  <dcterms:modified xsi:type="dcterms:W3CDTF">2015-10-21T12:57:00Z</dcterms:modified>
</cp:coreProperties>
</file>