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6081" w:rsidRPr="003F4DFB" w:rsidRDefault="00386081" w:rsidP="00386081">
      <w:pPr>
        <w:spacing w:line="360" w:lineRule="auto"/>
        <w:jc w:val="center"/>
      </w:pPr>
      <w:r w:rsidRPr="003F4DFB">
        <w:t>Analyse, détermination et prédiction des propriétés physico-chimiques des drogues(*)</w:t>
      </w:r>
    </w:p>
    <w:p w:rsidR="00386081" w:rsidRPr="003F4DFB" w:rsidRDefault="00386081" w:rsidP="00386081">
      <w:pPr>
        <w:spacing w:line="360" w:lineRule="auto"/>
        <w:jc w:val="center"/>
        <w:rPr>
          <w:b/>
          <w:bCs/>
        </w:rPr>
      </w:pPr>
      <w:r w:rsidRPr="003F4DFB">
        <w:rPr>
          <w:b/>
          <w:bCs/>
        </w:rPr>
        <w:t>Boumrah Yacine (**)</w:t>
      </w:r>
    </w:p>
    <w:p w:rsidR="00386081" w:rsidRDefault="00386081" w:rsidP="00386081">
      <w:pPr>
        <w:jc w:val="lowKashida"/>
        <w:rPr>
          <w:i/>
          <w:iCs/>
        </w:rPr>
      </w:pPr>
    </w:p>
    <w:p w:rsidR="00386081" w:rsidRPr="00577511" w:rsidRDefault="00386081" w:rsidP="00386081">
      <w:pPr>
        <w:jc w:val="lowKashida"/>
        <w:rPr>
          <w:i/>
          <w:iCs/>
        </w:rPr>
      </w:pPr>
      <w:r w:rsidRPr="00577511">
        <w:rPr>
          <w:i/>
          <w:iCs/>
        </w:rPr>
        <w:t>Laboratoire de thermodynamique et modélisation moléculaire</w:t>
      </w:r>
      <w:r>
        <w:rPr>
          <w:i/>
          <w:iCs/>
        </w:rPr>
        <w:t xml:space="preserve"> </w:t>
      </w:r>
      <w:r w:rsidRPr="00577511">
        <w:rPr>
          <w:i/>
          <w:iCs/>
        </w:rPr>
        <w:t>Faculté de Chimie, USTHB</w:t>
      </w:r>
    </w:p>
    <w:p w:rsidR="00386081" w:rsidRDefault="00386081" w:rsidP="00386081"/>
    <w:p w:rsidR="00386081" w:rsidRDefault="00386081" w:rsidP="00386081">
      <w:pPr>
        <w:rPr>
          <w:rFonts w:ascii="Arial" w:hAnsi="Arial"/>
          <w:b/>
          <w:bCs/>
        </w:rPr>
      </w:pPr>
    </w:p>
    <w:p w:rsidR="00386081" w:rsidRPr="003F4DFB" w:rsidRDefault="00386081" w:rsidP="00386081">
      <w:pPr>
        <w:pBdr>
          <w:top w:val="single" w:sz="4" w:space="1" w:color="auto"/>
          <w:left w:val="single" w:sz="4" w:space="4" w:color="auto"/>
          <w:bottom w:val="single" w:sz="4" w:space="1" w:color="auto"/>
          <w:right w:val="single" w:sz="4" w:space="4" w:color="auto"/>
        </w:pBdr>
        <w:jc w:val="both"/>
        <w:rPr>
          <w:b/>
          <w:bCs/>
        </w:rPr>
      </w:pPr>
      <w:r w:rsidRPr="003F4DFB">
        <w:rPr>
          <w:b/>
          <w:bCs/>
        </w:rPr>
        <w:t>Résumé</w:t>
      </w:r>
    </w:p>
    <w:p w:rsidR="00386081" w:rsidRPr="003F4DFB" w:rsidRDefault="00386081" w:rsidP="00386081">
      <w:pPr>
        <w:pBdr>
          <w:top w:val="single" w:sz="4" w:space="1" w:color="auto"/>
          <w:left w:val="single" w:sz="4" w:space="4" w:color="auto"/>
          <w:bottom w:val="single" w:sz="4" w:space="1" w:color="auto"/>
          <w:right w:val="single" w:sz="4" w:space="4" w:color="auto"/>
        </w:pBdr>
        <w:jc w:val="both"/>
        <w:rPr>
          <w:b/>
          <w:bCs/>
          <w:sz w:val="12"/>
          <w:szCs w:val="12"/>
        </w:rPr>
      </w:pPr>
    </w:p>
    <w:p w:rsidR="00386081" w:rsidRPr="003F4DFB" w:rsidRDefault="00386081" w:rsidP="00386081">
      <w:pPr>
        <w:pBdr>
          <w:top w:val="single" w:sz="4" w:space="1" w:color="auto"/>
          <w:left w:val="single" w:sz="4" w:space="4" w:color="auto"/>
          <w:bottom w:val="single" w:sz="4" w:space="1" w:color="auto"/>
          <w:right w:val="single" w:sz="4" w:space="4" w:color="auto"/>
        </w:pBdr>
        <w:autoSpaceDE w:val="0"/>
        <w:autoSpaceDN w:val="0"/>
        <w:adjustRightInd w:val="0"/>
        <w:ind w:firstLine="708"/>
        <w:jc w:val="both"/>
      </w:pPr>
      <w:r w:rsidRPr="003F4DFB">
        <w:t xml:space="preserve">Le trafic et la consommation du cannabis en Algérie, ont pris de l’ampleur ces dernières années. D’autre part, l’ouverture de notre pays sur le monde, a eu aussi comme conséquence l’apparition dans le marché national </w:t>
      </w:r>
      <w:r w:rsidRPr="003F4DFB">
        <w:rPr>
          <w:bCs/>
        </w:rPr>
        <w:t xml:space="preserve">de l’opium et </w:t>
      </w:r>
      <w:r w:rsidRPr="003F4DFB">
        <w:t xml:space="preserve">des stimulants de type amphétamine (STA). </w:t>
      </w:r>
      <w:r>
        <w:t>Cependant</w:t>
      </w:r>
      <w:r w:rsidRPr="0067778C">
        <w:t xml:space="preserve">, une tendance toxicomanogène de type mésusage et détournement de médicament, se fait très nettement ressentir en Algérie </w:t>
      </w:r>
      <w:r>
        <w:t xml:space="preserve">par </w:t>
      </w:r>
      <w:r w:rsidRPr="0067778C">
        <w:t xml:space="preserve">le trafic et la consommation des médicaments psychotropes. </w:t>
      </w:r>
      <w:r>
        <w:t>Enfin, une nouvelle menace commence à immerger dans les milieux de la toxicomanie, il s’agit des nouvelles substances stupéfiantes (NPS).</w:t>
      </w:r>
    </w:p>
    <w:p w:rsidR="00386081" w:rsidRDefault="00386081" w:rsidP="00386081">
      <w:pPr>
        <w:pBdr>
          <w:top w:val="single" w:sz="4" w:space="1" w:color="auto"/>
          <w:left w:val="single" w:sz="4" w:space="4" w:color="auto"/>
          <w:bottom w:val="single" w:sz="4" w:space="1" w:color="auto"/>
          <w:right w:val="single" w:sz="4" w:space="4" w:color="auto"/>
        </w:pBdr>
        <w:autoSpaceDE w:val="0"/>
        <w:autoSpaceDN w:val="0"/>
        <w:adjustRightInd w:val="0"/>
        <w:ind w:firstLine="708"/>
        <w:jc w:val="both"/>
      </w:pPr>
      <w:r w:rsidRPr="003F4DFB">
        <w:t>Dans le but de mieux contrecarrer l’inquiétante propagation de ces toxiques, l’incorporation de l’outil scientifique dans les investigations</w:t>
      </w:r>
      <w:r>
        <w:t>,</w:t>
      </w:r>
      <w:r w:rsidRPr="003F4DFB">
        <w:t xml:space="preserve"> </w:t>
      </w:r>
      <w:r>
        <w:t>s’avère indispensable</w:t>
      </w:r>
    </w:p>
    <w:p w:rsidR="00386081" w:rsidRDefault="00386081" w:rsidP="00386081">
      <w:pPr>
        <w:pBdr>
          <w:top w:val="single" w:sz="4" w:space="1" w:color="auto"/>
          <w:left w:val="single" w:sz="4" w:space="4" w:color="auto"/>
          <w:bottom w:val="single" w:sz="4" w:space="1" w:color="auto"/>
          <w:right w:val="single" w:sz="4" w:space="4" w:color="auto"/>
        </w:pBdr>
        <w:autoSpaceDE w:val="0"/>
        <w:autoSpaceDN w:val="0"/>
        <w:adjustRightInd w:val="0"/>
        <w:ind w:firstLine="708"/>
        <w:jc w:val="both"/>
      </w:pPr>
      <w:r w:rsidRPr="003F4DFB">
        <w:t xml:space="preserve">L’analyse scientifique des saisies de </w:t>
      </w:r>
      <w:r>
        <w:t>cannabis (haschich)</w:t>
      </w:r>
      <w:r w:rsidRPr="003F4DFB">
        <w:t>, communément appelé « profilage » est effectuée sur la base d’analyses physiques et chimiques des différentes saisies</w:t>
      </w:r>
      <w:r>
        <w:t xml:space="preserve"> </w:t>
      </w:r>
      <w:r w:rsidRPr="003F4DFB">
        <w:t xml:space="preserve">effectuées en Algérie. </w:t>
      </w:r>
    </w:p>
    <w:p w:rsidR="00386081" w:rsidRPr="003F4DFB" w:rsidRDefault="00386081" w:rsidP="00386081">
      <w:pPr>
        <w:pBdr>
          <w:top w:val="single" w:sz="4" w:space="1" w:color="auto"/>
          <w:left w:val="single" w:sz="4" w:space="4" w:color="auto"/>
          <w:bottom w:val="single" w:sz="4" w:space="1" w:color="auto"/>
          <w:right w:val="single" w:sz="4" w:space="4" w:color="auto"/>
        </w:pBdr>
        <w:autoSpaceDE w:val="0"/>
        <w:autoSpaceDN w:val="0"/>
        <w:adjustRightInd w:val="0"/>
        <w:ind w:firstLine="708"/>
        <w:jc w:val="both"/>
        <w:rPr>
          <w:bCs/>
        </w:rPr>
      </w:pPr>
      <w:r w:rsidRPr="003F4DFB">
        <w:rPr>
          <w:bCs/>
        </w:rPr>
        <w:t>L’identification et la quantification de l’opium via ses principaux alcaloïdes</w:t>
      </w:r>
      <w:r>
        <w:rPr>
          <w:bCs/>
        </w:rPr>
        <w:t xml:space="preserve"> s’est effectuée par </w:t>
      </w:r>
      <w:r w:rsidRPr="003F4DFB">
        <w:rPr>
          <w:bCs/>
        </w:rPr>
        <w:t>chromatographie sur couche mince de haute performance (CCMHP)</w:t>
      </w:r>
      <w:r>
        <w:rPr>
          <w:bCs/>
        </w:rPr>
        <w:t xml:space="preserve">. Les deux méthodes </w:t>
      </w:r>
      <w:r w:rsidRPr="003F4DFB">
        <w:rPr>
          <w:bCs/>
        </w:rPr>
        <w:t xml:space="preserve"> (qualitative et quantitative) </w:t>
      </w:r>
      <w:r>
        <w:rPr>
          <w:bCs/>
        </w:rPr>
        <w:t>ont été mises au point et validées suivant les standards internationaux.</w:t>
      </w:r>
      <w:r w:rsidRPr="003F4DFB">
        <w:rPr>
          <w:bCs/>
        </w:rPr>
        <w:t xml:space="preserve"> </w:t>
      </w:r>
    </w:p>
    <w:p w:rsidR="00386081" w:rsidRPr="00580C49" w:rsidRDefault="00386081" w:rsidP="00386081">
      <w:pPr>
        <w:pBdr>
          <w:top w:val="single" w:sz="4" w:space="1" w:color="auto"/>
          <w:left w:val="single" w:sz="4" w:space="4" w:color="auto"/>
          <w:bottom w:val="single" w:sz="4" w:space="1" w:color="auto"/>
          <w:right w:val="single" w:sz="4" w:space="4" w:color="auto"/>
        </w:pBdr>
        <w:autoSpaceDE w:val="0"/>
        <w:autoSpaceDN w:val="0"/>
        <w:adjustRightInd w:val="0"/>
        <w:ind w:firstLine="708"/>
        <w:jc w:val="both"/>
        <w:rPr>
          <w:bCs/>
        </w:rPr>
      </w:pPr>
      <w:r w:rsidRPr="003F4DFB">
        <w:rPr>
          <w:bCs/>
        </w:rPr>
        <w:t xml:space="preserve">Les stimulants de type amphétamine (STA) </w:t>
      </w:r>
      <w:r w:rsidRPr="00580C49">
        <w:rPr>
          <w:bCs/>
        </w:rPr>
        <w:t>composées de mélanges: STA-produit de coupage,</w:t>
      </w:r>
      <w:r>
        <w:rPr>
          <w:bCs/>
        </w:rPr>
        <w:t xml:space="preserve"> sont analysés par DSC et les résultats des analyses thermiques sont exploités dans un but analytique. Concernant l’apparition dans le marché  des</w:t>
      </w:r>
      <w:r w:rsidRPr="00580C49">
        <w:rPr>
          <w:bCs/>
        </w:rPr>
        <w:t xml:space="preserve"> mélanges amphétamines-pipérazines, </w:t>
      </w:r>
      <w:r>
        <w:rPr>
          <w:bCs/>
        </w:rPr>
        <w:t xml:space="preserve">une méthode d’analyse a été </w:t>
      </w:r>
      <w:r w:rsidRPr="00580C49">
        <w:rPr>
          <w:bCs/>
        </w:rPr>
        <w:t xml:space="preserve"> mise en place par chromatographie en phase gazeuse couplée à la spectrométrie de masse (CGSM), </w:t>
      </w:r>
      <w:r>
        <w:rPr>
          <w:bCs/>
        </w:rPr>
        <w:t>pour</w:t>
      </w:r>
      <w:r w:rsidRPr="00580C49">
        <w:rPr>
          <w:bCs/>
        </w:rPr>
        <w:t xml:space="preserve"> l’identification de</w:t>
      </w:r>
      <w:r>
        <w:rPr>
          <w:bCs/>
        </w:rPr>
        <w:t xml:space="preserve"> ces</w:t>
      </w:r>
      <w:r w:rsidRPr="00580C49">
        <w:rPr>
          <w:bCs/>
        </w:rPr>
        <w:t xml:space="preserve"> mélanges nouvellement apparus dans le marché de la drogue</w:t>
      </w:r>
      <w:r>
        <w:rPr>
          <w:bCs/>
        </w:rPr>
        <w:t>.</w:t>
      </w:r>
    </w:p>
    <w:p w:rsidR="00386081" w:rsidRPr="00612FEB" w:rsidRDefault="00386081" w:rsidP="00386081">
      <w:pPr>
        <w:pBdr>
          <w:top w:val="single" w:sz="4" w:space="1" w:color="auto"/>
          <w:left w:val="single" w:sz="4" w:space="4" w:color="auto"/>
          <w:bottom w:val="single" w:sz="4" w:space="1" w:color="auto"/>
          <w:right w:val="single" w:sz="4" w:space="4" w:color="auto"/>
        </w:pBdr>
        <w:autoSpaceDE w:val="0"/>
        <w:autoSpaceDN w:val="0"/>
        <w:adjustRightInd w:val="0"/>
        <w:ind w:firstLine="708"/>
        <w:jc w:val="both"/>
        <w:rPr>
          <w:bCs/>
        </w:rPr>
      </w:pPr>
      <w:r>
        <w:rPr>
          <w:bCs/>
        </w:rPr>
        <w:t xml:space="preserve">Concernant la </w:t>
      </w:r>
      <w:r w:rsidRPr="003F4DFB">
        <w:rPr>
          <w:bCs/>
        </w:rPr>
        <w:t>problématique des médicaments psychotropes</w:t>
      </w:r>
      <w:r>
        <w:rPr>
          <w:bCs/>
        </w:rPr>
        <w:t xml:space="preserve">, </w:t>
      </w:r>
      <w:r w:rsidRPr="003F4DFB">
        <w:rPr>
          <w:bCs/>
        </w:rPr>
        <w:t xml:space="preserve">trois de ces médicaments seront étudiés d’un point de vue thermodynamique et analytique. </w:t>
      </w:r>
      <w:r>
        <w:rPr>
          <w:bCs/>
        </w:rPr>
        <w:t>La DSC est utilisée</w:t>
      </w:r>
      <w:r w:rsidRPr="00612FEB">
        <w:rPr>
          <w:bCs/>
        </w:rPr>
        <w:t xml:space="preserve"> comme méthode alternative simple, rapide et précise pour la détermination simultanée des médicaments étudiés dans les produits de saisie.</w:t>
      </w:r>
    </w:p>
    <w:p w:rsidR="00386081" w:rsidRDefault="00386081" w:rsidP="00386081">
      <w:pPr>
        <w:pBdr>
          <w:top w:val="single" w:sz="4" w:space="1" w:color="auto"/>
          <w:left w:val="single" w:sz="4" w:space="4" w:color="auto"/>
          <w:bottom w:val="single" w:sz="4" w:space="1" w:color="auto"/>
          <w:right w:val="single" w:sz="4" w:space="4" w:color="auto"/>
        </w:pBdr>
        <w:ind w:firstLine="708"/>
        <w:jc w:val="both"/>
      </w:pPr>
      <w:r w:rsidRPr="003F4DFB">
        <w:t xml:space="preserve">L’identification de nouvelles substances stupéfiantes (NPS), </w:t>
      </w:r>
      <w:r>
        <w:t>a</w:t>
      </w:r>
      <w:r w:rsidRPr="003F4DFB">
        <w:t xml:space="preserve"> été effectuée par chromatographie en phase liquide couplée à la spectrométrie de masse à temps de vol (LC-QTOF-MS). Ainsi, les spectres de masse des NPS étudiés seront enregistrés dans des bibliothèques spectrales afin de se prémunir contre toute éventualité de leur apparition en Algérie. Les métabolites de ces substances seront produits à partir de microsomes hépatiques humains et leurs caractéristiques chromatographiques et spectrales seront déterminées et enregistrées.</w:t>
      </w:r>
    </w:p>
    <w:p w:rsidR="00386081" w:rsidRPr="003F4DFB" w:rsidRDefault="00386081" w:rsidP="00386081">
      <w:pPr>
        <w:pBdr>
          <w:top w:val="single" w:sz="4" w:space="1" w:color="auto"/>
          <w:left w:val="single" w:sz="4" w:space="4" w:color="auto"/>
          <w:bottom w:val="single" w:sz="4" w:space="1" w:color="auto"/>
          <w:right w:val="single" w:sz="4" w:space="4" w:color="auto"/>
        </w:pBdr>
        <w:ind w:firstLine="708"/>
        <w:jc w:val="both"/>
      </w:pPr>
    </w:p>
    <w:p w:rsidR="00386081" w:rsidRDefault="00386081" w:rsidP="00386081">
      <w:pPr>
        <w:spacing w:after="200" w:line="276" w:lineRule="auto"/>
      </w:pPr>
    </w:p>
    <w:p w:rsidR="001A692B" w:rsidRDefault="00037BA0"/>
    <w:sectPr w:rsidR="001A692B" w:rsidSect="00F3107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hyphenationZone w:val="425"/>
  <w:characterSpacingControl w:val="doNotCompress"/>
  <w:compat/>
  <w:rsids>
    <w:rsidRoot w:val="00386081"/>
    <w:rsid w:val="00037BA0"/>
    <w:rsid w:val="00076D9B"/>
    <w:rsid w:val="000E4564"/>
    <w:rsid w:val="00386081"/>
    <w:rsid w:val="003D0553"/>
    <w:rsid w:val="00444344"/>
    <w:rsid w:val="00602FD5"/>
    <w:rsid w:val="007E00FD"/>
    <w:rsid w:val="00B461B3"/>
    <w:rsid w:val="00B86A8A"/>
    <w:rsid w:val="00F31072"/>
    <w:rsid w:val="00FA6CF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4"/>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6081"/>
    <w:pPr>
      <w:spacing w:after="0" w:line="240" w:lineRule="auto"/>
    </w:pPr>
    <w:rPr>
      <w:rFonts w:eastAsia="Times New Roman"/>
      <w:color w:val="00000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415</Words>
  <Characters>2368</Characters>
  <Application>Microsoft Office Word</Application>
  <DocSecurity>0</DocSecurity>
  <Lines>19</Lines>
  <Paragraphs>5</Paragraphs>
  <ScaleCrop>false</ScaleCrop>
  <Company>cannab</Company>
  <LinksUpToDate>false</LinksUpToDate>
  <CharactersWithSpaces>2778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boumrah</dc:creator>
  <cp:lastModifiedBy>traitement</cp:lastModifiedBy>
  <cp:revision>3</cp:revision>
  <dcterms:created xsi:type="dcterms:W3CDTF">2016-11-21T10:35:00Z</dcterms:created>
  <dcterms:modified xsi:type="dcterms:W3CDTF">2016-11-21T10:35:00Z</dcterms:modified>
</cp:coreProperties>
</file>