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C5" w:rsidRPr="00C33437" w:rsidRDefault="00B23C5E" w:rsidP="00B23C5E">
      <w:pPr>
        <w:rPr>
          <w:rFonts w:ascii="Times New Roman" w:hAnsi="Times New Roman" w:cs="Times New Roman"/>
          <w:b/>
          <w:sz w:val="24"/>
        </w:rPr>
      </w:pPr>
      <w:r w:rsidRPr="00C33437">
        <w:rPr>
          <w:rFonts w:ascii="Times New Roman" w:hAnsi="Times New Roman" w:cs="Times New Roman"/>
          <w:b/>
          <w:sz w:val="28"/>
        </w:rPr>
        <w:t xml:space="preserve">Résumé </w:t>
      </w:r>
    </w:p>
    <w:p w:rsidR="00691CC5" w:rsidRDefault="00691CC5" w:rsidP="00691C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1CC5" w:rsidRDefault="00691CC5" w:rsidP="00691C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9692E">
        <w:rPr>
          <w:rFonts w:ascii="Times New Roman" w:hAnsi="Times New Roman" w:cs="Times New Roman"/>
          <w:sz w:val="24"/>
          <w:szCs w:val="24"/>
        </w:rPr>
        <w:t>Avant  toute modélisation ou interprétation de données  magnétotelluriques, il est primordiale de faire  une analyse du tenseur d’impédance, afin  de déterminer  la géométrie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692E">
        <w:rPr>
          <w:rFonts w:ascii="Times New Roman" w:hAnsi="Times New Roman" w:cs="Times New Roman"/>
          <w:sz w:val="24"/>
          <w:szCs w:val="24"/>
        </w:rPr>
        <w:t xml:space="preserve"> de la structure géologique. Dans le cas où la structure est 2-D, alors il est nécessaire de  </w:t>
      </w:r>
      <w:r>
        <w:rPr>
          <w:rFonts w:ascii="Times New Roman" w:hAnsi="Times New Roman" w:cs="Times New Roman"/>
          <w:sz w:val="24"/>
          <w:szCs w:val="24"/>
        </w:rPr>
        <w:t xml:space="preserve">déterminer sa </w:t>
      </w:r>
      <w:r w:rsidRPr="0099692E">
        <w:rPr>
          <w:rFonts w:ascii="Times New Roman" w:hAnsi="Times New Roman" w:cs="Times New Roman"/>
          <w:sz w:val="24"/>
          <w:szCs w:val="24"/>
        </w:rPr>
        <w:t xml:space="preserve">direction  structurale  ou ce qu’on appelle le Strike. </w:t>
      </w:r>
      <w:r>
        <w:rPr>
          <w:rFonts w:ascii="Times New Roman" w:hAnsi="Times New Roman" w:cs="Times New Roman"/>
          <w:sz w:val="24"/>
          <w:szCs w:val="24"/>
        </w:rPr>
        <w:t xml:space="preserve">Pour </w:t>
      </w:r>
      <w:r w:rsidRPr="0099692E">
        <w:rPr>
          <w:rFonts w:ascii="Times New Roman" w:hAnsi="Times New Roman" w:cs="Times New Roman"/>
          <w:sz w:val="24"/>
          <w:szCs w:val="24"/>
        </w:rPr>
        <w:t>effectuer cette analyse Plusieurs techniques sont proposées, dont les plus utilisées sont la technique</w:t>
      </w:r>
      <w:r w:rsidR="00C33437">
        <w:rPr>
          <w:rFonts w:ascii="Times New Roman" w:hAnsi="Times New Roman" w:cs="Times New Roman"/>
          <w:sz w:val="24"/>
          <w:szCs w:val="24"/>
        </w:rPr>
        <w:t xml:space="preserve"> de</w:t>
      </w:r>
      <w:r w:rsidRPr="0099692E">
        <w:rPr>
          <w:rFonts w:ascii="Times New Roman" w:hAnsi="Times New Roman" w:cs="Times New Roman"/>
          <w:sz w:val="24"/>
          <w:szCs w:val="24"/>
        </w:rPr>
        <w:t xml:space="preserve"> Groom-</w:t>
      </w:r>
      <w:proofErr w:type="spellStart"/>
      <w:r w:rsidRPr="0099692E">
        <w:rPr>
          <w:rFonts w:ascii="Times New Roman" w:hAnsi="Times New Roman" w:cs="Times New Roman"/>
          <w:sz w:val="24"/>
          <w:szCs w:val="24"/>
        </w:rPr>
        <w:t>Baily</w:t>
      </w:r>
      <w:proofErr w:type="spellEnd"/>
      <w:r w:rsidRPr="0099692E">
        <w:rPr>
          <w:rFonts w:ascii="Times New Roman" w:hAnsi="Times New Roman" w:cs="Times New Roman"/>
          <w:sz w:val="24"/>
          <w:szCs w:val="24"/>
        </w:rPr>
        <w:t xml:space="preserve"> (1989 et 1991) et la technique de Bahr (1988 et 1991). </w:t>
      </w:r>
    </w:p>
    <w:p w:rsidR="001C4DEA" w:rsidRPr="006547C1" w:rsidRDefault="001C4DEA" w:rsidP="00691CC5">
      <w:pPr>
        <w:spacing w:after="0" w:line="240" w:lineRule="auto"/>
        <w:jc w:val="both"/>
        <w:rPr>
          <w:b/>
          <w:sz w:val="24"/>
        </w:rPr>
      </w:pPr>
    </w:p>
    <w:p w:rsidR="00691CC5" w:rsidRPr="0099692E" w:rsidRDefault="00514487" w:rsidP="00691C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Plus récemment, une nouvelle approche a été proposée par Caldwell </w:t>
      </w:r>
      <w:r w:rsidR="00C33437">
        <w:rPr>
          <w:rFonts w:ascii="Times New Roman" w:hAnsi="Times New Roman" w:cs="Times New Roman"/>
          <w:sz w:val="24"/>
          <w:szCs w:val="24"/>
        </w:rPr>
        <w:t xml:space="preserve">et al. (2004) dite méthode 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 du tenseur </w:t>
      </w:r>
      <w:r w:rsidR="00C33437">
        <w:rPr>
          <w:rFonts w:ascii="Times New Roman" w:hAnsi="Times New Roman" w:cs="Times New Roman"/>
          <w:sz w:val="24"/>
          <w:szCs w:val="24"/>
        </w:rPr>
        <w:t xml:space="preserve"> de  </w:t>
      </w:r>
      <w:r w:rsidR="00C33437" w:rsidRPr="0099692E">
        <w:rPr>
          <w:rFonts w:ascii="Times New Roman" w:hAnsi="Times New Roman" w:cs="Times New Roman"/>
          <w:sz w:val="24"/>
          <w:szCs w:val="24"/>
        </w:rPr>
        <w:t xml:space="preserve">phase 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(phase </w:t>
      </w:r>
      <w:proofErr w:type="spellStart"/>
      <w:r w:rsidR="00691CC5" w:rsidRPr="0099692E">
        <w:rPr>
          <w:rFonts w:ascii="Times New Roman" w:hAnsi="Times New Roman" w:cs="Times New Roman"/>
          <w:sz w:val="24"/>
          <w:szCs w:val="24"/>
        </w:rPr>
        <w:t>tensor</w:t>
      </w:r>
      <w:proofErr w:type="spellEnd"/>
      <w:r w:rsidR="00691CC5" w:rsidRPr="0099692E">
        <w:rPr>
          <w:rFonts w:ascii="Times New Roman" w:hAnsi="Times New Roman" w:cs="Times New Roman"/>
          <w:sz w:val="24"/>
          <w:szCs w:val="24"/>
        </w:rPr>
        <w:t>) qui s’avère intéressante.</w:t>
      </w:r>
    </w:p>
    <w:p w:rsidR="00691CC5" w:rsidRDefault="00691CC5" w:rsidP="00691C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1CC5" w:rsidRDefault="00691CC5" w:rsidP="00691C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99692E">
        <w:rPr>
          <w:rFonts w:ascii="Times New Roman" w:hAnsi="Times New Roman" w:cs="Times New Roman"/>
          <w:sz w:val="24"/>
          <w:szCs w:val="24"/>
        </w:rPr>
        <w:t xml:space="preserve">Le  présent  travail consiste </w:t>
      </w:r>
      <w:r>
        <w:rPr>
          <w:rFonts w:ascii="Times New Roman" w:hAnsi="Times New Roman" w:cs="Times New Roman"/>
          <w:sz w:val="24"/>
          <w:szCs w:val="24"/>
        </w:rPr>
        <w:t xml:space="preserve">en </w:t>
      </w:r>
      <w:r w:rsidRPr="0099692E">
        <w:rPr>
          <w:rFonts w:ascii="Times New Roman" w:hAnsi="Times New Roman" w:cs="Times New Roman"/>
          <w:sz w:val="24"/>
          <w:szCs w:val="24"/>
        </w:rPr>
        <w:t xml:space="preserve"> une analyse de la phase du tenseur d’impédance </w:t>
      </w:r>
      <w:r>
        <w:rPr>
          <w:rFonts w:ascii="Times New Roman" w:hAnsi="Times New Roman" w:cs="Times New Roman"/>
          <w:sz w:val="24"/>
          <w:szCs w:val="24"/>
        </w:rPr>
        <w:t>en utilisant la méthode du tenseur de phase, suivie d’</w:t>
      </w:r>
      <w:r w:rsidRPr="0099692E">
        <w:rPr>
          <w:rFonts w:ascii="Times New Roman" w:hAnsi="Times New Roman" w:cs="Times New Roman"/>
          <w:sz w:val="24"/>
          <w:szCs w:val="24"/>
        </w:rPr>
        <w:t xml:space="preserve">une comparaison entre les  résultats obtenus par </w:t>
      </w:r>
      <w:r>
        <w:rPr>
          <w:rFonts w:ascii="Times New Roman" w:hAnsi="Times New Roman" w:cs="Times New Roman"/>
          <w:sz w:val="24"/>
          <w:szCs w:val="24"/>
        </w:rPr>
        <w:t xml:space="preserve">la présente </w:t>
      </w:r>
      <w:r w:rsidRPr="0099692E">
        <w:rPr>
          <w:rFonts w:ascii="Times New Roman" w:hAnsi="Times New Roman" w:cs="Times New Roman"/>
          <w:sz w:val="24"/>
          <w:szCs w:val="24"/>
        </w:rPr>
        <w:t xml:space="preserve"> méthode et </w:t>
      </w:r>
      <w:r>
        <w:rPr>
          <w:rFonts w:ascii="Times New Roman" w:hAnsi="Times New Roman" w:cs="Times New Roman"/>
          <w:sz w:val="24"/>
          <w:szCs w:val="24"/>
        </w:rPr>
        <w:t>celles</w:t>
      </w:r>
      <w:r w:rsidRPr="009969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 </w:t>
      </w:r>
      <w:r w:rsidRPr="0099692E">
        <w:rPr>
          <w:rFonts w:ascii="Times New Roman" w:hAnsi="Times New Roman" w:cs="Times New Roman"/>
          <w:sz w:val="24"/>
          <w:szCs w:val="24"/>
        </w:rPr>
        <w:t xml:space="preserve"> méthodes classiques</w:t>
      </w:r>
      <w:r w:rsidRPr="001D5B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(Bahr </w:t>
      </w:r>
      <w:r w:rsidRPr="0099692E">
        <w:rPr>
          <w:rFonts w:ascii="Times New Roman" w:hAnsi="Times New Roman" w:cs="Times New Roman"/>
          <w:sz w:val="24"/>
          <w:szCs w:val="24"/>
        </w:rPr>
        <w:t xml:space="preserve">1988 et </w:t>
      </w:r>
      <w:r>
        <w:rPr>
          <w:rFonts w:ascii="Times New Roman" w:hAnsi="Times New Roman" w:cs="Times New Roman"/>
          <w:sz w:val="24"/>
          <w:szCs w:val="24"/>
        </w:rPr>
        <w:t>1991,</w:t>
      </w:r>
      <w:r w:rsidRPr="001D5B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Groom-</w:t>
      </w:r>
      <w:proofErr w:type="spellStart"/>
      <w:r>
        <w:rPr>
          <w:rFonts w:ascii="Times New Roman" w:hAnsi="Times New Roman" w:cs="Times New Roman"/>
          <w:sz w:val="24"/>
          <w:szCs w:val="24"/>
        </w:rPr>
        <w:t>Baily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692E">
        <w:rPr>
          <w:rFonts w:ascii="Times New Roman" w:hAnsi="Times New Roman" w:cs="Times New Roman"/>
          <w:sz w:val="24"/>
          <w:szCs w:val="24"/>
        </w:rPr>
        <w:t>1989 et 1991).</w:t>
      </w:r>
    </w:p>
    <w:p w:rsidR="001C4DEA" w:rsidRPr="0099692E" w:rsidRDefault="001C4DEA" w:rsidP="00691C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1CC5" w:rsidRDefault="00514487" w:rsidP="00691CC5">
      <w:pPr>
        <w:tabs>
          <w:tab w:val="left" w:pos="855"/>
        </w:tabs>
        <w:spacing w:after="0" w:line="240" w:lineRule="auto"/>
        <w:ind w:right="-8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Pour ce faire, nous avons établi un programme informatique qui calcule le tenseur de phase magnétotellurique ainsi que ses différents paramètres. Le </w:t>
      </w:r>
      <w:r w:rsidR="00691CC5">
        <w:rPr>
          <w:rFonts w:ascii="Times New Roman" w:hAnsi="Times New Roman" w:cs="Times New Roman"/>
          <w:sz w:val="24"/>
          <w:szCs w:val="24"/>
        </w:rPr>
        <w:t xml:space="preserve">programme est rédigé en fortran </w:t>
      </w:r>
      <w:r w:rsidR="00691CC5" w:rsidRPr="0099692E">
        <w:rPr>
          <w:rFonts w:ascii="Times New Roman" w:hAnsi="Times New Roman" w:cs="Times New Roman"/>
          <w:sz w:val="24"/>
          <w:szCs w:val="24"/>
        </w:rPr>
        <w:t>90 et compilé sous Windows. Il prend comme entrée (input)  les valeurs des champs électromagnétiques observés  ou le tenseur d’impédance</w:t>
      </w:r>
      <w:r w:rsidR="00691CC5">
        <w:rPr>
          <w:rFonts w:ascii="Times New Roman" w:hAnsi="Times New Roman" w:cs="Times New Roman"/>
          <w:sz w:val="24"/>
          <w:szCs w:val="24"/>
        </w:rPr>
        <w:t xml:space="preserve">. 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les paramètres de sorties ( outputs ) sont l’angle de </w:t>
      </w:r>
      <w:proofErr w:type="spellStart"/>
      <w:r w:rsidR="00691CC5" w:rsidRPr="0099692E">
        <w:rPr>
          <w:rFonts w:ascii="Times New Roman" w:hAnsi="Times New Roman" w:cs="Times New Roman"/>
          <w:sz w:val="24"/>
          <w:szCs w:val="24"/>
        </w:rPr>
        <w:t>skew</w:t>
      </w:r>
      <w:proofErr w:type="spellEnd"/>
      <w:r w:rsidR="00691CC5" w:rsidRPr="0099692E">
        <w:rPr>
          <w:rFonts w:ascii="Times New Roman" w:hAnsi="Times New Roman" w:cs="Times New Roman"/>
          <w:sz w:val="24"/>
          <w:szCs w:val="24"/>
        </w:rPr>
        <w:t xml:space="preserve"> (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>β) qui permet de faire une estimation de la dimensionnalité de la structure</w:t>
      </w:r>
      <w:r w:rsidR="00691CC5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 xml:space="preserve"> régionale , l’angle (α) </w:t>
      </w:r>
      <w:r w:rsidR="00691CC5">
        <w:rPr>
          <w:rFonts w:ascii="Times New Roman" w:hAnsi="Times New Roman" w:cs="Times New Roman"/>
          <w:color w:val="0D0D0D"/>
          <w:sz w:val="24"/>
          <w:szCs w:val="24"/>
        </w:rPr>
        <w:t xml:space="preserve">qui donne l’inclinaison de la 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>direction structurale dans le cas d’</w:t>
      </w:r>
      <w:r w:rsidR="00C33437">
        <w:rPr>
          <w:rFonts w:ascii="Times New Roman" w:hAnsi="Times New Roman" w:cs="Times New Roman"/>
          <w:color w:val="0D0D0D"/>
          <w:sz w:val="24"/>
          <w:szCs w:val="24"/>
        </w:rPr>
        <w:t>une structure régionale 2-D ,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 xml:space="preserve"> les deux valeurs principales du tenseur de phase </w:t>
      </w:r>
      <w:proofErr w:type="spellStart"/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>Ф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  <w:vertAlign w:val="subscript"/>
        </w:rPr>
        <w:t>min</w:t>
      </w:r>
      <w:proofErr w:type="spellEnd"/>
      <w:r w:rsidR="00691CC5" w:rsidRPr="0099692E">
        <w:rPr>
          <w:rFonts w:ascii="Times New Roman" w:hAnsi="Times New Roman" w:cs="Times New Roman"/>
          <w:sz w:val="24"/>
          <w:szCs w:val="24"/>
        </w:rPr>
        <w:t> </w:t>
      </w:r>
      <w:r w:rsidR="00C33437">
        <w:rPr>
          <w:rFonts w:ascii="Times New Roman" w:hAnsi="Times New Roman" w:cs="Times New Roman"/>
          <w:sz w:val="24"/>
          <w:szCs w:val="24"/>
        </w:rPr>
        <w:t xml:space="preserve">et 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 xml:space="preserve">Ф 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  <w:vertAlign w:val="subscript"/>
        </w:rPr>
        <w:t>max </w:t>
      </w:r>
      <w:r w:rsidR="00B23C5E">
        <w:rPr>
          <w:rFonts w:ascii="Times New Roman" w:hAnsi="Times New Roman" w:cs="Times New Roman"/>
          <w:color w:val="0D0D0D"/>
          <w:sz w:val="24"/>
          <w:szCs w:val="24"/>
          <w:vertAlign w:val="subscript"/>
        </w:rPr>
        <w:t xml:space="preserve"> 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>qui représentent  respectivement le petit et le grand axe de l’ellipse du  tenseur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  <w:vertAlign w:val="subscript"/>
        </w:rPr>
        <w:t xml:space="preserve"> ,</w:t>
      </w:r>
      <w:r w:rsidR="00691CC5" w:rsidRPr="00DE5E4A">
        <w:rPr>
          <w:rFonts w:ascii="Times New Roman" w:hAnsi="Times New Roman" w:cs="Times New Roman"/>
          <w:color w:val="0D0D0D"/>
          <w:sz w:val="24"/>
          <w:szCs w:val="24"/>
        </w:rPr>
        <w:t>quand à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  <w:vertAlign w:val="subscript"/>
        </w:rPr>
        <w:t xml:space="preserve">  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l’angle  Ѳ 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>(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 Ѳ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 xml:space="preserve"> = α - β)</w:t>
      </w:r>
      <w:r w:rsidR="00691CC5">
        <w:rPr>
          <w:rFonts w:ascii="Times New Roman" w:hAnsi="Times New Roman" w:cs="Times New Roman"/>
          <w:color w:val="0D0D0D"/>
          <w:sz w:val="24"/>
          <w:szCs w:val="24"/>
        </w:rPr>
        <w:t xml:space="preserve"> il  représente</w:t>
      </w:r>
      <w:r w:rsidR="00691CC5" w:rsidRPr="0099692E">
        <w:rPr>
          <w:rFonts w:ascii="Times New Roman" w:hAnsi="Times New Roman" w:cs="Times New Roman"/>
          <w:color w:val="0D0D0D"/>
          <w:sz w:val="24"/>
          <w:szCs w:val="24"/>
        </w:rPr>
        <w:t xml:space="preserve"> l’angle d’inclinaison  de l’ellipse du tenseur de phase  par rapport au système d’axe</w:t>
      </w:r>
      <w:r w:rsidR="00691CC5" w:rsidRPr="0099692E">
        <w:rPr>
          <w:rFonts w:ascii="Times New Roman" w:hAnsi="Times New Roman" w:cs="Times New Roman"/>
          <w:sz w:val="24"/>
          <w:szCs w:val="24"/>
        </w:rPr>
        <w:t xml:space="preserve"> </w:t>
      </w:r>
      <w:r w:rsidR="00691CC5">
        <w:rPr>
          <w:rFonts w:ascii="Times New Roman" w:hAnsi="Times New Roman" w:cs="Times New Roman"/>
          <w:sz w:val="24"/>
          <w:szCs w:val="24"/>
        </w:rPr>
        <w:t>qui n’est que la direction préférentielle des courants d’induction.</w:t>
      </w:r>
    </w:p>
    <w:p w:rsidR="001C4DEA" w:rsidRDefault="001C4DEA" w:rsidP="00691CC5">
      <w:pPr>
        <w:tabs>
          <w:tab w:val="left" w:pos="855"/>
        </w:tabs>
        <w:spacing w:after="0" w:line="240" w:lineRule="auto"/>
        <w:ind w:right="-87"/>
        <w:jc w:val="both"/>
        <w:rPr>
          <w:rFonts w:ascii="Times New Roman" w:hAnsi="Times New Roman" w:cs="Times New Roman"/>
          <w:color w:val="0D0D0D"/>
          <w:sz w:val="24"/>
          <w:szCs w:val="24"/>
        </w:rPr>
      </w:pPr>
    </w:p>
    <w:p w:rsidR="00691CC5" w:rsidRDefault="001C4DEA" w:rsidP="00691CC5">
      <w:pPr>
        <w:tabs>
          <w:tab w:val="left" w:pos="855"/>
        </w:tabs>
        <w:spacing w:after="0" w:line="240" w:lineRule="auto"/>
        <w:ind w:right="424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               </w:t>
      </w:r>
      <w:r w:rsidR="00691CC5">
        <w:rPr>
          <w:rFonts w:ascii="Times New Roman" w:hAnsi="Times New Roman" w:cs="Times New Roman"/>
          <w:color w:val="0D0D0D"/>
          <w:sz w:val="24"/>
          <w:szCs w:val="24"/>
        </w:rPr>
        <w:t>Dans un premier temps, nous avons élaboré un modèle synthétique afin de tester  la fiabilité du programme et de voir le comportement du tenseur de phase et ses différentes paramètres.</w:t>
      </w:r>
    </w:p>
    <w:p w:rsidR="001C4DEA" w:rsidRDefault="001C4DEA" w:rsidP="00691CC5">
      <w:pPr>
        <w:tabs>
          <w:tab w:val="left" w:pos="855"/>
        </w:tabs>
        <w:spacing w:after="0" w:line="240" w:lineRule="auto"/>
        <w:ind w:right="424"/>
        <w:jc w:val="both"/>
        <w:rPr>
          <w:rFonts w:ascii="Times New Roman" w:hAnsi="Times New Roman" w:cs="Times New Roman"/>
          <w:color w:val="0D0D0D"/>
          <w:sz w:val="24"/>
          <w:szCs w:val="24"/>
        </w:rPr>
      </w:pPr>
    </w:p>
    <w:p w:rsidR="00691CC5" w:rsidRDefault="001C4DEA" w:rsidP="004A51F0">
      <w:pPr>
        <w:tabs>
          <w:tab w:val="left" w:pos="855"/>
        </w:tabs>
        <w:spacing w:after="0" w:line="240" w:lineRule="auto"/>
        <w:ind w:right="-57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            </w:t>
      </w:r>
      <w:r w:rsidR="00691CC5">
        <w:rPr>
          <w:rFonts w:ascii="Times New Roman" w:hAnsi="Times New Roman" w:cs="Times New Roman"/>
          <w:color w:val="0D0D0D"/>
          <w:sz w:val="24"/>
          <w:szCs w:val="24"/>
        </w:rPr>
        <w:t>Par la suite, Notre  programme  a été appliqué à des données réelles collectées lors d’une campagne magnétotellurique dans la région du Hoggar.</w:t>
      </w:r>
    </w:p>
    <w:p w:rsidR="001C4DEA" w:rsidRDefault="001C4DEA" w:rsidP="004A51F0">
      <w:pPr>
        <w:tabs>
          <w:tab w:val="left" w:pos="855"/>
        </w:tabs>
        <w:spacing w:after="0" w:line="240" w:lineRule="auto"/>
        <w:ind w:right="-57"/>
        <w:jc w:val="both"/>
        <w:rPr>
          <w:rFonts w:ascii="Times New Roman" w:hAnsi="Times New Roman" w:cs="Times New Roman"/>
          <w:color w:val="0D0D0D"/>
          <w:sz w:val="24"/>
          <w:szCs w:val="24"/>
        </w:rPr>
      </w:pPr>
    </w:p>
    <w:p w:rsidR="004A51F0" w:rsidRDefault="001C4DEA" w:rsidP="004A51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            </w:t>
      </w:r>
      <w:r w:rsidR="00691CC5">
        <w:rPr>
          <w:rFonts w:ascii="Times New Roman" w:hAnsi="Times New Roman" w:cs="Times New Roman"/>
          <w:color w:val="0D0D0D"/>
          <w:sz w:val="24"/>
          <w:szCs w:val="24"/>
        </w:rPr>
        <w:t xml:space="preserve">L’application à des données magnétotelluriques de terrain à </w:t>
      </w:r>
      <w:r w:rsidR="004A51F0">
        <w:rPr>
          <w:rFonts w:ascii="Times New Roman" w:hAnsi="Times New Roman" w:cs="Times New Roman"/>
          <w:sz w:val="24"/>
          <w:szCs w:val="24"/>
        </w:rPr>
        <w:t>permet de mettre  en évidence l’existence d’une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 structure</w:t>
      </w:r>
      <w:r w:rsidR="004A51F0">
        <w:rPr>
          <w:rFonts w:ascii="Times New Roman" w:hAnsi="Times New Roman" w:cs="Times New Roman"/>
          <w:sz w:val="24"/>
          <w:szCs w:val="24"/>
        </w:rPr>
        <w:t xml:space="preserve"> géologique 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 régionale </w:t>
      </w:r>
      <w:r w:rsidR="004A51F0">
        <w:rPr>
          <w:rFonts w:ascii="Times New Roman" w:hAnsi="Times New Roman" w:cs="Times New Roman"/>
          <w:sz w:val="24"/>
          <w:szCs w:val="24"/>
        </w:rPr>
        <w:t xml:space="preserve">bidimensionnelle, ce qui est confirmé par les résultats obtenus par la méthode  d’analyse 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de Bahr </w:t>
      </w:r>
      <w:r w:rsidR="004A51F0" w:rsidRPr="00F25117">
        <w:rPr>
          <w:rFonts w:ascii="Times New Roman" w:eastAsia="Times New Roman" w:hAnsi="Times New Roman" w:cs="Times New Roman"/>
          <w:color w:val="0D0D0D"/>
          <w:sz w:val="24"/>
          <w:szCs w:val="28"/>
        </w:rPr>
        <w:t>(</w:t>
      </w:r>
      <w:r w:rsidR="004A51F0" w:rsidRPr="00F25117">
        <w:rPr>
          <w:rFonts w:ascii="Times New Roman" w:hAnsi="Times New Roman" w:cs="Times New Roman"/>
          <w:sz w:val="24"/>
          <w:szCs w:val="28"/>
        </w:rPr>
        <w:t>1988 et 1991)</w:t>
      </w:r>
      <w:r w:rsidR="004A51F0">
        <w:rPr>
          <w:rFonts w:ascii="Times New Roman" w:hAnsi="Times New Roman" w:cs="Times New Roman"/>
          <w:sz w:val="24"/>
          <w:szCs w:val="24"/>
        </w:rPr>
        <w:t xml:space="preserve">, cette structure régionale 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 </w:t>
      </w:r>
      <w:r w:rsidR="004A51F0">
        <w:rPr>
          <w:rFonts w:ascii="Times New Roman" w:hAnsi="Times New Roman" w:cs="Times New Roman"/>
          <w:sz w:val="24"/>
          <w:szCs w:val="24"/>
        </w:rPr>
        <w:t xml:space="preserve">a une direction du </w:t>
      </w:r>
      <w:r w:rsidR="004A51F0" w:rsidRPr="005F437A">
        <w:rPr>
          <w:rFonts w:ascii="Times New Roman" w:hAnsi="Times New Roman" w:cs="Times New Roman"/>
          <w:sz w:val="24"/>
          <w:szCs w:val="24"/>
        </w:rPr>
        <w:t>Strike</w:t>
      </w:r>
      <w:r w:rsidR="004A51F0">
        <w:rPr>
          <w:rFonts w:ascii="Times New Roman" w:hAnsi="Times New Roman" w:cs="Times New Roman"/>
          <w:sz w:val="24"/>
          <w:szCs w:val="24"/>
        </w:rPr>
        <w:t xml:space="preserve"> quasiment NE-SW,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 ce qui a été renforcé par  les résultats </w:t>
      </w:r>
      <w:r w:rsidR="004A51F0">
        <w:rPr>
          <w:rFonts w:ascii="Times New Roman" w:hAnsi="Times New Roman" w:cs="Times New Roman"/>
          <w:sz w:val="24"/>
          <w:szCs w:val="24"/>
        </w:rPr>
        <w:t>obtenus par la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 </w:t>
      </w:r>
      <w:r w:rsidR="004A51F0">
        <w:rPr>
          <w:rFonts w:ascii="Times New Roman" w:hAnsi="Times New Roman" w:cs="Times New Roman"/>
          <w:sz w:val="24"/>
          <w:szCs w:val="24"/>
        </w:rPr>
        <w:t xml:space="preserve"> méthode d’analyse</w:t>
      </w:r>
      <w:r w:rsidR="004A51F0" w:rsidRPr="005F437A">
        <w:rPr>
          <w:rFonts w:ascii="Times New Roman" w:hAnsi="Times New Roman" w:cs="Times New Roman"/>
          <w:sz w:val="24"/>
          <w:szCs w:val="24"/>
        </w:rPr>
        <w:t xml:space="preserve"> </w:t>
      </w:r>
      <w:r w:rsidR="004A51F0">
        <w:rPr>
          <w:rFonts w:ascii="Times New Roman" w:hAnsi="Times New Roman" w:cs="Times New Roman"/>
          <w:sz w:val="24"/>
          <w:szCs w:val="24"/>
        </w:rPr>
        <w:t xml:space="preserve"> </w:t>
      </w:r>
      <w:r w:rsidR="004A51F0" w:rsidRPr="005F437A">
        <w:rPr>
          <w:rFonts w:ascii="Times New Roman" w:hAnsi="Times New Roman" w:cs="Times New Roman"/>
          <w:sz w:val="24"/>
          <w:szCs w:val="24"/>
        </w:rPr>
        <w:t>de  Groom-Bailey</w:t>
      </w:r>
      <w:r w:rsidR="004A51F0" w:rsidRPr="00C75688">
        <w:rPr>
          <w:rFonts w:ascii="Times New Roman" w:hAnsi="Times New Roman" w:cs="Times New Roman"/>
          <w:sz w:val="24"/>
          <w:szCs w:val="24"/>
        </w:rPr>
        <w:t xml:space="preserve"> (1989 et 1991)</w:t>
      </w:r>
      <w:r w:rsidR="004A51F0">
        <w:rPr>
          <w:rFonts w:ascii="Times New Roman" w:hAnsi="Times New Roman" w:cs="Times New Roman"/>
          <w:sz w:val="24"/>
          <w:szCs w:val="24"/>
        </w:rPr>
        <w:t>.</w:t>
      </w:r>
    </w:p>
    <w:p w:rsidR="004A51F0" w:rsidRDefault="004A51F0" w:rsidP="004A51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51F0" w:rsidRDefault="004A51F0" w:rsidP="004A51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Au niveau da l’accident  géologique 4°50, la structure géologique régionale manifeste un comportement  géo-électrique bidimensionnel,  avec une direction du Strike qu’est NE-SW.</w:t>
      </w:r>
    </w:p>
    <w:p w:rsidR="00216BE6" w:rsidRDefault="00216BE6" w:rsidP="004A51F0">
      <w:pPr>
        <w:tabs>
          <w:tab w:val="left" w:pos="855"/>
        </w:tabs>
        <w:spacing w:after="0" w:line="240" w:lineRule="auto"/>
        <w:ind w:right="-57"/>
        <w:jc w:val="both"/>
      </w:pPr>
    </w:p>
    <w:sectPr w:rsidR="00216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691CC5"/>
    <w:rsid w:val="001C4DEA"/>
    <w:rsid w:val="00216BE6"/>
    <w:rsid w:val="004A51F0"/>
    <w:rsid w:val="00504FF6"/>
    <w:rsid w:val="00514487"/>
    <w:rsid w:val="00691CC5"/>
    <w:rsid w:val="00B23C5E"/>
    <w:rsid w:val="00C334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454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portable</dc:creator>
  <cp:keywords/>
  <dc:description/>
  <cp:lastModifiedBy>portable</cp:lastModifiedBy>
  <cp:revision>6</cp:revision>
  <dcterms:created xsi:type="dcterms:W3CDTF">2012-04-09T07:59:00Z</dcterms:created>
  <dcterms:modified xsi:type="dcterms:W3CDTF">2012-04-09T08:30:00Z</dcterms:modified>
</cp:coreProperties>
</file>