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16285" w:rsidRDefault="003F6459">
      <w:pPr>
        <w:rPr>
          <w:rFonts w:asciiTheme="majorBidi" w:hAnsiTheme="majorBidi" w:cstheme="majorBidi"/>
          <w:b/>
          <w:bCs/>
          <w:sz w:val="24"/>
          <w:szCs w:val="24"/>
          <w:u w:val="single"/>
        </w:rPr>
      </w:pPr>
      <w:r w:rsidRPr="003F6459">
        <w:rPr>
          <w:rFonts w:asciiTheme="majorBidi" w:hAnsiTheme="majorBidi" w:cstheme="majorBidi"/>
          <w:b/>
          <w:bCs/>
          <w:sz w:val="24"/>
          <w:szCs w:val="24"/>
          <w:u w:val="single"/>
        </w:rPr>
        <w:t>Résumé :</w:t>
      </w:r>
    </w:p>
    <w:p w:rsidR="003F6459" w:rsidRPr="003F6459" w:rsidRDefault="003F6459" w:rsidP="00C87EFA">
      <w:pPr>
        <w:jc w:val="both"/>
        <w:rPr>
          <w:rFonts w:asciiTheme="majorBidi" w:hAnsiTheme="majorBidi" w:cstheme="majorBidi"/>
          <w:b/>
          <w:bCs/>
          <w:sz w:val="24"/>
          <w:szCs w:val="24"/>
          <w:u w:val="single"/>
        </w:rPr>
      </w:pPr>
      <w:r w:rsidRPr="00CB3179">
        <w:rPr>
          <w:rFonts w:asciiTheme="majorBidi" w:hAnsiTheme="majorBidi" w:cstheme="majorBidi"/>
          <w:sz w:val="24"/>
          <w:szCs w:val="24"/>
        </w:rPr>
        <w:t xml:space="preserve">Les </w:t>
      </w:r>
      <w:r w:rsidRPr="00CB3179">
        <w:rPr>
          <w:rFonts w:asciiTheme="majorBidi" w:hAnsiTheme="majorBidi" w:cstheme="majorBidi"/>
          <w:sz w:val="24"/>
          <w:szCs w:val="24"/>
          <w:u w:val="single"/>
        </w:rPr>
        <w:t>M</w:t>
      </w:r>
      <w:r w:rsidRPr="00CB3179">
        <w:rPr>
          <w:rFonts w:asciiTheme="majorBidi" w:hAnsiTheme="majorBidi" w:cstheme="majorBidi"/>
          <w:sz w:val="24"/>
          <w:szCs w:val="24"/>
        </w:rPr>
        <w:t xml:space="preserve">aladies </w:t>
      </w:r>
      <w:r w:rsidRPr="00CB3179">
        <w:rPr>
          <w:rFonts w:asciiTheme="majorBidi" w:hAnsiTheme="majorBidi" w:cstheme="majorBidi"/>
          <w:sz w:val="24"/>
          <w:szCs w:val="24"/>
          <w:u w:val="single"/>
        </w:rPr>
        <w:t>I</w:t>
      </w:r>
      <w:r w:rsidRPr="00CB3179">
        <w:rPr>
          <w:rFonts w:asciiTheme="majorBidi" w:hAnsiTheme="majorBidi" w:cstheme="majorBidi"/>
          <w:sz w:val="24"/>
          <w:szCs w:val="24"/>
        </w:rPr>
        <w:t xml:space="preserve">nflammatoires </w:t>
      </w:r>
      <w:r w:rsidRPr="00CB3179">
        <w:rPr>
          <w:rFonts w:asciiTheme="majorBidi" w:hAnsiTheme="majorBidi" w:cstheme="majorBidi"/>
          <w:sz w:val="24"/>
          <w:szCs w:val="24"/>
          <w:u w:val="single"/>
        </w:rPr>
        <w:t>C</w:t>
      </w:r>
      <w:r w:rsidRPr="00CB3179">
        <w:rPr>
          <w:rFonts w:asciiTheme="majorBidi" w:hAnsiTheme="majorBidi" w:cstheme="majorBidi"/>
          <w:sz w:val="24"/>
          <w:szCs w:val="24"/>
        </w:rPr>
        <w:t>hroniques de l’</w:t>
      </w:r>
      <w:r w:rsidRPr="00CB3179">
        <w:rPr>
          <w:rFonts w:asciiTheme="majorBidi" w:hAnsiTheme="majorBidi" w:cstheme="majorBidi"/>
          <w:sz w:val="24"/>
          <w:szCs w:val="24"/>
          <w:u w:val="single"/>
        </w:rPr>
        <w:t>I</w:t>
      </w:r>
      <w:r w:rsidRPr="00CB3179">
        <w:rPr>
          <w:rFonts w:asciiTheme="majorBidi" w:hAnsiTheme="majorBidi" w:cstheme="majorBidi"/>
          <w:sz w:val="24"/>
          <w:szCs w:val="24"/>
        </w:rPr>
        <w:t xml:space="preserve">ntestin (MICI) se présentent sous deux formes: la maladie de Crohn (MC) et la </w:t>
      </w:r>
      <w:r w:rsidRPr="00C87EFA">
        <w:rPr>
          <w:rFonts w:asciiTheme="majorBidi" w:hAnsiTheme="majorBidi" w:cstheme="majorBidi"/>
          <w:sz w:val="24"/>
          <w:szCs w:val="24"/>
        </w:rPr>
        <w:t xml:space="preserve">rectocolite </w:t>
      </w:r>
      <w:proofErr w:type="spellStart"/>
      <w:r w:rsidRPr="00C87EFA">
        <w:rPr>
          <w:rFonts w:asciiTheme="majorBidi" w:hAnsiTheme="majorBidi" w:cstheme="majorBidi"/>
          <w:sz w:val="24"/>
          <w:szCs w:val="24"/>
        </w:rPr>
        <w:t>ulcéo</w:t>
      </w:r>
      <w:proofErr w:type="spellEnd"/>
      <w:r w:rsidRPr="00C87EFA">
        <w:rPr>
          <w:rFonts w:asciiTheme="majorBidi" w:hAnsiTheme="majorBidi" w:cstheme="majorBidi"/>
          <w:sz w:val="24"/>
          <w:szCs w:val="24"/>
        </w:rPr>
        <w:t>-hémorragique (RCUH).</w:t>
      </w:r>
      <w:r w:rsidR="00CB3179" w:rsidRPr="00C87EFA">
        <w:rPr>
          <w:rFonts w:asciiTheme="majorBidi" w:hAnsiTheme="majorBidi" w:cstheme="majorBidi"/>
          <w:sz w:val="24"/>
          <w:szCs w:val="24"/>
        </w:rPr>
        <w:t xml:space="preserve"> </w:t>
      </w:r>
      <w:r w:rsidR="00C87EFA" w:rsidRPr="00C87EFA">
        <w:rPr>
          <w:rFonts w:asciiTheme="majorBidi" w:hAnsiTheme="majorBidi" w:cstheme="majorBidi"/>
          <w:sz w:val="24"/>
          <w:szCs w:val="24"/>
        </w:rPr>
        <w:t>Nos résultats mettent en évidence que les MICI d</w:t>
      </w:r>
      <w:r w:rsidRPr="003F6459">
        <w:rPr>
          <w:rFonts w:asciiTheme="majorBidi" w:eastAsia="Times New Roman" w:hAnsiTheme="majorBidi" w:cstheme="majorBidi"/>
          <w:sz w:val="24"/>
          <w:szCs w:val="24"/>
          <w:lang w:eastAsia="fr-FR"/>
        </w:rPr>
        <w:t>ans la population algérienne</w:t>
      </w:r>
      <w:r w:rsidR="00CB3179" w:rsidRPr="00C87EFA">
        <w:rPr>
          <w:rFonts w:asciiTheme="majorBidi" w:eastAsia="Times New Roman" w:hAnsiTheme="majorBidi" w:cstheme="majorBidi"/>
          <w:sz w:val="24"/>
          <w:szCs w:val="24"/>
          <w:lang w:eastAsia="fr-FR"/>
        </w:rPr>
        <w:t xml:space="preserve">, </w:t>
      </w:r>
      <w:r w:rsidRPr="003F6459">
        <w:rPr>
          <w:rFonts w:asciiTheme="majorBidi" w:eastAsia="Times New Roman" w:hAnsiTheme="majorBidi" w:cstheme="majorBidi"/>
          <w:sz w:val="24"/>
          <w:szCs w:val="24"/>
          <w:lang w:eastAsia="fr-FR"/>
        </w:rPr>
        <w:t xml:space="preserve">sont des pathologies polygéniques complexes au cours desquelles la composante génétique en interaction avec les facteurs environnementaux, pourrait être à l’origine de la dérégulation des mécanismes immunologiques, déclenchant une inflammation destructrice de la barrière intestinale. </w:t>
      </w:r>
      <w:bookmarkStart w:id="0" w:name="_GoBack"/>
      <w:bookmarkEnd w:id="0"/>
    </w:p>
    <w:p w:rsidR="003F6459" w:rsidRPr="00CB3179" w:rsidRDefault="003F6459">
      <w:pPr>
        <w:rPr>
          <w:rFonts w:asciiTheme="majorBidi" w:hAnsiTheme="majorBidi" w:cstheme="majorBidi"/>
          <w:sz w:val="24"/>
          <w:szCs w:val="24"/>
        </w:rPr>
      </w:pPr>
    </w:p>
    <w:sectPr w:rsidR="003F6459" w:rsidRPr="00CB317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5F71"/>
    <w:rsid w:val="003F6459"/>
    <w:rsid w:val="00533292"/>
    <w:rsid w:val="009F5F71"/>
    <w:rsid w:val="00A23A74"/>
    <w:rsid w:val="00B73A1C"/>
    <w:rsid w:val="00C87EFA"/>
    <w:rsid w:val="00CB31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0238FB5-99DA-4EEA-9870-FF8D9D8222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1</Pages>
  <Words>82</Words>
  <Characters>454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Aziza Boukercha</dc:creator>
  <cp:keywords/>
  <dc:description/>
  <cp:lastModifiedBy>Aziza Boukercha</cp:lastModifiedBy>
  <cp:revision>2</cp:revision>
  <dcterms:created xsi:type="dcterms:W3CDTF">2016-01-03T20:32:00Z</dcterms:created>
  <dcterms:modified xsi:type="dcterms:W3CDTF">2016-01-03T22:06:00Z</dcterms:modified>
</cp:coreProperties>
</file>