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B02" w:rsidRDefault="00E75B02" w:rsidP="00E75B02">
      <w:r>
        <w:t xml:space="preserve">Le but de cette étude est  d'examiner l'influence de cette couche externe sur l'écoulement de cavité, particulièrement sur  le processus de recollement.  L'approche numérique est basée sur deux modèles de turbulence, le modèle k- et le modèle  RSM à faibles nombre de Reynolds.  Dans la première partie de cette étude, l'influence de la nature de l'écoulement </w:t>
      </w:r>
    </w:p>
    <w:p w:rsidR="00E75B02" w:rsidRDefault="00E75B02" w:rsidP="00E75B02">
      <w:proofErr w:type="gramStart"/>
      <w:r>
        <w:t>entrant</w:t>
      </w:r>
      <w:proofErr w:type="gramEnd"/>
      <w:r>
        <w:t xml:space="preserve"> est examinée pour des cavités de différents rapports d'aspect. Le cas particulier d'une cavité peu profonde, avec  un rapport d'aspect égal à 10 est approfondi dans la deuxième partie. L'effet du nombre de Reynolds et celui de l'intensité  de turbulence dans le cas de l'écoulement incident de couche limite sont d'abord examinés. Une comparaison de la  structure de l'écoulement issue de l'interaction couche limite-cavité à celle issue de l'interaction jet pariétal-cavité est  ensuite effectuée, en examinant l'effet du rapport de la profondeur de cavité sur l'épaisseur de la buse de sortie du jet. </w:t>
      </w:r>
    </w:p>
    <w:p w:rsidR="00E75B02" w:rsidRDefault="00E75B02" w:rsidP="00E75B02">
      <w:r>
        <w:t xml:space="preserve">  La nature de l'écoulement incident semblent avoir plus d'influence sur les cavités avec un grand rapport d'aspect que sur  celles avec un faible rapport d'aspect où la structure globale de l'écoulement reste pratiquement identique pour les deux  écoulements entrants considérés dans cette étude. Cependant, une importante réduction de la longueur de recollement est  constatée dans le cas des cavités de grands rapports d'aspect sous l'incidence du jet pariétal avec l'apparition d'une  importante bulle de recirculation sur la marche aval. Les résultats de cette étude montrent également que l'écoulement de</w:t>
      </w:r>
    </w:p>
    <w:p w:rsidR="00E75B02" w:rsidRDefault="00E75B02" w:rsidP="00E75B02">
      <w:r>
        <w:t xml:space="preserve"> </w:t>
      </w:r>
      <w:proofErr w:type="gramStart"/>
      <w:r>
        <w:t>cavité</w:t>
      </w:r>
      <w:proofErr w:type="gramEnd"/>
      <w:r>
        <w:t xml:space="preserve"> est très sensible à l'intensité de turbulence de l'écoulement incident ; ceci se traduit par l'accélération du processus  de recollement dans la cavité de rapport d'aspect égal à 10.  La variation du nombre de Reynolds semble avoir un  moindre effet sur l'écoulement de cavité.  L'écoulement est par contre très sensible à la nature de l'écoulement entrant. Un</w:t>
      </w:r>
    </w:p>
    <w:p w:rsidR="00E75B02" w:rsidRDefault="00E75B02" w:rsidP="00E75B02">
      <w:r>
        <w:t xml:space="preserve"> </w:t>
      </w:r>
      <w:proofErr w:type="gramStart"/>
      <w:r>
        <w:t>recollement</w:t>
      </w:r>
      <w:proofErr w:type="gramEnd"/>
      <w:r>
        <w:t xml:space="preserve"> précoce est constaté dans le cas de l'écoulement incident du jet pariétal comparé à celui de la couche limite.</w:t>
      </w:r>
    </w:p>
    <w:p w:rsidR="00E54C18" w:rsidRDefault="00E75B02" w:rsidP="00E75B02">
      <w:r>
        <w:t xml:space="preserve"> L'augmentation de la profondeur de la cavité par rapport à la hauteur de la buse de sortie du jet accélère d'avantage le  processus de recollement.</w:t>
      </w:r>
    </w:p>
    <w:sectPr w:rsidR="00E54C18" w:rsidSect="00E54C1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75B02"/>
    <w:rsid w:val="00E54C18"/>
    <w:rsid w:val="00E75B0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4C1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342</Words>
  <Characters>1884</Characters>
  <Application>Microsoft Office Word</Application>
  <DocSecurity>0</DocSecurity>
  <Lines>15</Lines>
  <Paragraphs>4</Paragraphs>
  <ScaleCrop>false</ScaleCrop>
  <Company/>
  <LinksUpToDate>false</LinksUpToDate>
  <CharactersWithSpaces>2222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2015-01-12T09:54:00Z</dcterms:created>
  <dcterms:modified xsi:type="dcterms:W3CDTF">2015-01-12T09:55:00Z</dcterms:modified>
</cp:coreProperties>
</file>