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2037" w:rsidRDefault="00CB5092">
      <w:pPr>
        <w:autoSpaceDE w:val="0"/>
        <w:spacing w:after="0" w:line="240" w:lineRule="auto"/>
        <w:ind w:firstLine="708"/>
        <w:jc w:val="center"/>
        <w:rPr>
          <w:rFonts w:ascii="Times New Roman" w:eastAsia="Times New Roman" w:hAnsi="Times New Roman"/>
          <w:b/>
          <w:color w:val="000000"/>
          <w:sz w:val="32"/>
          <w:szCs w:val="32"/>
          <w:lang w:eastAsia="fr-FR"/>
        </w:rPr>
      </w:pPr>
      <w:r>
        <w:rPr>
          <w:rFonts w:ascii="Times New Roman" w:eastAsia="Times New Roman" w:hAnsi="Times New Roman"/>
          <w:b/>
          <w:color w:val="000000"/>
          <w:sz w:val="32"/>
          <w:szCs w:val="32"/>
          <w:lang w:eastAsia="fr-FR"/>
        </w:rPr>
        <w:t>Résumé</w:t>
      </w:r>
    </w:p>
    <w:p w:rsidR="00E92037" w:rsidRDefault="00E92037">
      <w:pPr>
        <w:autoSpaceDE w:val="0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fr-FR"/>
        </w:rPr>
      </w:pPr>
    </w:p>
    <w:p w:rsidR="00E92037" w:rsidRDefault="00E92037">
      <w:pPr>
        <w:autoSpaceDE w:val="0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fr-FR"/>
        </w:rPr>
      </w:pPr>
    </w:p>
    <w:p w:rsidR="00E92037" w:rsidRDefault="00E92037">
      <w:pPr>
        <w:autoSpaceDE w:val="0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fr-FR"/>
        </w:rPr>
      </w:pPr>
    </w:p>
    <w:p w:rsidR="00E92037" w:rsidRDefault="00CB5092">
      <w:pPr>
        <w:autoSpaceDE w:val="0"/>
        <w:spacing w:after="0" w:line="240" w:lineRule="auto"/>
        <w:ind w:firstLine="708"/>
        <w:jc w:val="both"/>
      </w:pPr>
      <w:r>
        <w:rPr>
          <w:rFonts w:ascii="Times New Roman" w:eastAsia="Times New Roman" w:hAnsi="Times New Roman"/>
          <w:color w:val="000000"/>
          <w:sz w:val="20"/>
          <w:szCs w:val="20"/>
          <w:lang w:eastAsia="fr-FR"/>
        </w:rPr>
        <w:t>Les composés S</w:t>
      </w:r>
      <w:r>
        <w:rPr>
          <w:rFonts w:ascii="Times New Roman" w:eastAsia="Times New Roman" w:hAnsi="Times New Roman"/>
          <w:color w:val="000000"/>
          <w:sz w:val="20"/>
          <w:szCs w:val="20"/>
          <w:vertAlign w:val="subscript"/>
          <w:lang w:eastAsia="fr-FR"/>
        </w:rPr>
        <w:t>x</w:t>
      </w:r>
      <w:r>
        <w:rPr>
          <w:rFonts w:ascii="Times New Roman" w:eastAsia="Times New Roman" w:hAnsi="Times New Roman"/>
          <w:color w:val="000000"/>
          <w:sz w:val="20"/>
          <w:szCs w:val="20"/>
          <w:lang w:eastAsia="fr-FR"/>
        </w:rPr>
        <w:t>ZnO (</w:t>
      </w:r>
      <w:r>
        <w:rPr>
          <w:rFonts w:ascii="Times New Roman" w:eastAsia="Times New Roman" w:hAnsi="Times New Roman"/>
          <w:i/>
          <w:color w:val="000000"/>
          <w:sz w:val="20"/>
          <w:szCs w:val="20"/>
          <w:lang w:eastAsia="fr-FR"/>
        </w:rPr>
        <w:t>x</w:t>
      </w:r>
      <w:r>
        <w:rPr>
          <w:rFonts w:ascii="Times New Roman" w:eastAsia="Times New Roman" w:hAnsi="Times New Roman"/>
          <w:color w:val="000000"/>
          <w:sz w:val="20"/>
          <w:szCs w:val="20"/>
          <w:lang w:eastAsia="fr-FR"/>
        </w:rPr>
        <w:t>=0 ; 0.05 ; 0.1 et 0.2) ont été préparés par la méthode sol-gel en utilisant Na</w:t>
      </w:r>
      <w:r>
        <w:rPr>
          <w:rFonts w:ascii="Times New Roman" w:eastAsia="Times New Roman" w:hAnsi="Times New Roman"/>
          <w:color w:val="000000"/>
          <w:sz w:val="20"/>
          <w:szCs w:val="20"/>
          <w:vertAlign w:val="subscript"/>
          <w:lang w:eastAsia="fr-FR"/>
        </w:rPr>
        <w:t>2</w:t>
      </w:r>
      <w:r>
        <w:rPr>
          <w:rFonts w:ascii="Times New Roman" w:eastAsia="Times New Roman" w:hAnsi="Times New Roman"/>
          <w:color w:val="000000"/>
          <w:sz w:val="20"/>
          <w:szCs w:val="20"/>
          <w:lang w:eastAsia="fr-FR"/>
        </w:rPr>
        <w:t xml:space="preserve">S comme précurseur de soufre et lAgar-Agar comme gélifiant. Les composés ont été caractérisés par plusieurs techniques notamment: la diffraction  des  rayons  X  (DRX),  ATR, XPS, MEB-EDX, HR-MEB, reflectance  diffuse  (RD),  mesures  de  la  variation  thermique  de  la conductivité  électrique  et  du  pouvoir  thermoélectrique  ainsi  qu’une étude  photo-électrochimique.  Pour des besoins stratégiques, différentes molécules à dégrader sont utilisées notamment l’éosine, l’orange II, des chloro-phénols ainsi que d’autres molécules modèles.  </w:t>
      </w:r>
    </w:p>
    <w:p w:rsidR="00E92037" w:rsidRDefault="00E92037">
      <w:pPr>
        <w:spacing w:after="0" w:line="240" w:lineRule="auto"/>
        <w:ind w:firstLine="708"/>
        <w:jc w:val="both"/>
        <w:rPr>
          <w:rFonts w:ascii="Times New Roman" w:eastAsia="MS Mincho" w:hAnsi="Times New Roman"/>
          <w:sz w:val="20"/>
          <w:szCs w:val="20"/>
          <w:lang w:eastAsia="fr-FR"/>
        </w:rPr>
      </w:pPr>
    </w:p>
    <w:p w:rsidR="00E92037" w:rsidRDefault="00CB5092">
      <w:pPr>
        <w:spacing w:after="0" w:line="240" w:lineRule="auto"/>
        <w:ind w:firstLine="708"/>
        <w:jc w:val="both"/>
      </w:pPr>
      <w:r>
        <w:rPr>
          <w:rFonts w:ascii="Times New Roman" w:eastAsia="MS Mincho" w:hAnsi="Times New Roman"/>
          <w:sz w:val="20"/>
          <w:szCs w:val="20"/>
          <w:lang w:eastAsia="fr-FR"/>
        </w:rPr>
        <w:t xml:space="preserve">Les diffractogrammes sont indexés dans une phase hexagonale (structure wurtzite), les paramètres de maille, la taille des cristallites D, la densité de dislocation δ et les contraintes ɛ ont été calculés pour ZnO non dopé et dopé à différentes concentration de soufre. le </w:t>
      </w:r>
      <w:r>
        <w:rPr>
          <w:rFonts w:ascii="Times New Roman" w:eastAsia="Times New Roman" w:hAnsi="Times New Roman"/>
          <w:sz w:val="20"/>
          <w:szCs w:val="20"/>
          <w:lang w:eastAsia="fr-FR"/>
        </w:rPr>
        <w:t>système S</w:t>
      </w:r>
      <w:r>
        <w:rPr>
          <w:rFonts w:ascii="Times New Roman" w:eastAsia="Times New Roman" w:hAnsi="Times New Roman"/>
          <w:sz w:val="20"/>
          <w:szCs w:val="20"/>
          <w:vertAlign w:val="subscript"/>
          <w:lang w:eastAsia="fr-FR"/>
        </w:rPr>
        <w:t>x</w:t>
      </w:r>
      <w:r>
        <w:rPr>
          <w:rFonts w:ascii="Times New Roman" w:eastAsia="Times New Roman" w:hAnsi="Times New Roman"/>
          <w:sz w:val="20"/>
          <w:szCs w:val="20"/>
          <w:lang w:eastAsia="fr-FR"/>
        </w:rPr>
        <w:t>ZnO ne semble pas présenter de phases secondaires.  L’introduction d’atomes S dans le réseau a pour effet de diminuer le niveau de cristallisation ce qui a pour impact de réduire la taille des cristallites (20 nm≤</w:t>
      </w:r>
      <w:r>
        <w:rPr>
          <w:rFonts w:ascii="Times New Roman" w:eastAsia="Times New Roman" w:hAnsi="Times New Roman"/>
          <w:i/>
          <w:sz w:val="20"/>
          <w:szCs w:val="20"/>
          <w:lang w:eastAsia="fr-FR"/>
        </w:rPr>
        <w:t>D</w:t>
      </w:r>
      <w:r>
        <w:rPr>
          <w:rFonts w:ascii="Times New Roman" w:eastAsia="Times New Roman" w:hAnsi="Times New Roman"/>
          <w:sz w:val="20"/>
          <w:szCs w:val="20"/>
          <w:lang w:eastAsia="fr-FR"/>
        </w:rPr>
        <w:t>≤30 nm). Le processus de dopage a été confirmé par le pic observé à 610 cm</w:t>
      </w:r>
      <w:r>
        <w:rPr>
          <w:rFonts w:ascii="Times New Roman" w:eastAsia="Times New Roman" w:hAnsi="Times New Roman"/>
          <w:sz w:val="20"/>
          <w:szCs w:val="20"/>
          <w:vertAlign w:val="superscript"/>
          <w:lang w:eastAsia="fr-FR"/>
        </w:rPr>
        <w:t>-1</w:t>
      </w:r>
      <w:r>
        <w:rPr>
          <w:rFonts w:ascii="Times New Roman" w:eastAsia="Times New Roman" w:hAnsi="Times New Roman"/>
          <w:sz w:val="20"/>
          <w:szCs w:val="20"/>
          <w:lang w:eastAsia="fr-FR"/>
        </w:rPr>
        <w:t xml:space="preserve"> sur les spectres ATR et relié à la liaison Zn-S. La cartographie par EDAX a révélé une distribution homogène des atomes S à la surface des particules. Globalement, la proportion des espèces a été respectée comme démontrée par les mesures XPS.       </w:t>
      </w:r>
    </w:p>
    <w:p w:rsidR="00E92037" w:rsidRDefault="00E92037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0"/>
          <w:szCs w:val="20"/>
          <w:lang w:eastAsia="fr-FR"/>
        </w:rPr>
      </w:pPr>
    </w:p>
    <w:p w:rsidR="00E92037" w:rsidRDefault="00CB5092">
      <w:pPr>
        <w:spacing w:after="0" w:line="240" w:lineRule="auto"/>
        <w:ind w:firstLine="708"/>
        <w:jc w:val="both"/>
      </w:pPr>
      <w:r>
        <w:rPr>
          <w:rFonts w:ascii="Times New Roman" w:eastAsia="Times New Roman" w:hAnsi="Times New Roman"/>
          <w:sz w:val="20"/>
          <w:szCs w:val="20"/>
          <w:lang w:eastAsia="fr-FR"/>
        </w:rPr>
        <w:t xml:space="preserve">La largeur de la bande interdite varie en fonction de la composition du système et a tendance à augmenter jusqu’à une valeur maximale de 3.03 eV pour </w:t>
      </w:r>
      <w:r>
        <w:rPr>
          <w:rFonts w:ascii="Times New Roman" w:eastAsia="Times New Roman" w:hAnsi="Times New Roman"/>
          <w:i/>
          <w:sz w:val="20"/>
          <w:szCs w:val="20"/>
          <w:lang w:eastAsia="fr-FR"/>
        </w:rPr>
        <w:t>x</w:t>
      </w:r>
      <w:r>
        <w:rPr>
          <w:rFonts w:ascii="Times New Roman" w:eastAsia="Times New Roman" w:hAnsi="Times New Roman"/>
          <w:sz w:val="20"/>
          <w:szCs w:val="20"/>
          <w:lang w:eastAsia="fr-FR"/>
        </w:rPr>
        <w:t>=0.2. La nature des porteurs de charge est invariable avec le dopage et une conduction par électron (type-</w:t>
      </w:r>
      <w:r>
        <w:rPr>
          <w:rFonts w:ascii="Times New Roman" w:eastAsia="Times New Roman" w:hAnsi="Times New Roman"/>
          <w:i/>
          <w:sz w:val="20"/>
          <w:szCs w:val="20"/>
          <w:lang w:eastAsia="fr-FR"/>
        </w:rPr>
        <w:t>n</w:t>
      </w:r>
      <w:r>
        <w:rPr>
          <w:rFonts w:ascii="Times New Roman" w:eastAsia="Times New Roman" w:hAnsi="Times New Roman"/>
          <w:sz w:val="20"/>
          <w:szCs w:val="20"/>
          <w:lang w:eastAsia="fr-FR"/>
        </w:rPr>
        <w:t>) est confirmée par le signe du pouvoir thermoélectrique. Le mécanisme de conduction est assuré par le saut de petits polarons thermiquement activés. Le composé S</w:t>
      </w:r>
      <w:r>
        <w:rPr>
          <w:rFonts w:ascii="Times New Roman" w:eastAsia="Times New Roman" w:hAnsi="Times New Roman"/>
          <w:sz w:val="20"/>
          <w:szCs w:val="20"/>
          <w:vertAlign w:val="subscript"/>
          <w:lang w:eastAsia="fr-FR"/>
        </w:rPr>
        <w:t>0.1</w:t>
      </w:r>
      <w:r>
        <w:rPr>
          <w:rFonts w:ascii="Times New Roman" w:eastAsia="Times New Roman" w:hAnsi="Times New Roman"/>
          <w:sz w:val="20"/>
          <w:szCs w:val="20"/>
          <w:lang w:eastAsia="fr-FR"/>
        </w:rPr>
        <w:t>ZnO présente le meilleur compromis entre le gap Eg (2.96 eV), la concentration des porteurs de charges N</w:t>
      </w:r>
      <w:r>
        <w:rPr>
          <w:rFonts w:ascii="Times New Roman" w:eastAsia="Times New Roman" w:hAnsi="Times New Roman"/>
          <w:sz w:val="20"/>
          <w:szCs w:val="20"/>
          <w:vertAlign w:val="subscript"/>
          <w:lang w:eastAsia="fr-FR"/>
        </w:rPr>
        <w:t>A</w:t>
      </w:r>
      <w:r>
        <w:rPr>
          <w:rFonts w:ascii="Times New Roman" w:eastAsia="Times New Roman" w:hAnsi="Times New Roman"/>
          <w:sz w:val="20"/>
          <w:szCs w:val="20"/>
          <w:lang w:eastAsia="fr-FR"/>
        </w:rPr>
        <w:t xml:space="preserve"> (2.139 ×10</w:t>
      </w:r>
      <w:r>
        <w:rPr>
          <w:rFonts w:ascii="Times New Roman" w:eastAsia="Times New Roman" w:hAnsi="Times New Roman"/>
          <w:sz w:val="20"/>
          <w:szCs w:val="20"/>
          <w:vertAlign w:val="superscript"/>
          <w:lang w:eastAsia="fr-FR"/>
        </w:rPr>
        <w:t>22</w:t>
      </w:r>
      <w:r>
        <w:rPr>
          <w:rFonts w:ascii="Times New Roman" w:eastAsia="Times New Roman" w:hAnsi="Times New Roman"/>
          <w:sz w:val="20"/>
          <w:szCs w:val="20"/>
          <w:lang w:eastAsia="fr-FR"/>
        </w:rPr>
        <w:t xml:space="preserve"> cm</w:t>
      </w:r>
      <w:r>
        <w:rPr>
          <w:rFonts w:ascii="Times New Roman" w:eastAsia="Times New Roman" w:hAnsi="Times New Roman"/>
          <w:sz w:val="20"/>
          <w:szCs w:val="20"/>
          <w:vertAlign w:val="superscript"/>
          <w:lang w:eastAsia="fr-FR"/>
        </w:rPr>
        <w:t>-3</w:t>
      </w:r>
      <w:r>
        <w:rPr>
          <w:rFonts w:ascii="Times New Roman" w:eastAsia="Times New Roman" w:hAnsi="Times New Roman"/>
          <w:sz w:val="20"/>
          <w:szCs w:val="20"/>
          <w:lang w:eastAsia="fr-FR"/>
        </w:rPr>
        <w:t>), la conductivité  σ (5.56×10</w:t>
      </w:r>
      <w:r>
        <w:rPr>
          <w:rFonts w:ascii="Times New Roman" w:eastAsia="Times New Roman" w:hAnsi="Times New Roman"/>
          <w:sz w:val="20"/>
          <w:szCs w:val="20"/>
          <w:vertAlign w:val="superscript"/>
          <w:lang w:eastAsia="fr-FR"/>
        </w:rPr>
        <w:t>-4</w:t>
      </w:r>
      <w:r>
        <w:rPr>
          <w:rFonts w:ascii="Times New Roman" w:eastAsia="Times New Roman" w:hAnsi="Times New Roman"/>
          <w:sz w:val="20"/>
          <w:szCs w:val="20"/>
          <w:lang w:eastAsia="fr-FR"/>
        </w:rPr>
        <w:t xml:space="preserve"> Ω</w:t>
      </w:r>
      <w:r>
        <w:rPr>
          <w:rFonts w:ascii="Times New Roman" w:eastAsia="Times New Roman" w:hAnsi="Times New Roman"/>
          <w:sz w:val="20"/>
          <w:szCs w:val="20"/>
          <w:vertAlign w:val="superscript"/>
          <w:lang w:eastAsia="fr-FR"/>
        </w:rPr>
        <w:t>-1</w:t>
      </w:r>
      <w:r>
        <w:rPr>
          <w:rFonts w:ascii="Times New Roman" w:eastAsia="Times New Roman" w:hAnsi="Times New Roman"/>
          <w:sz w:val="20"/>
          <w:szCs w:val="20"/>
          <w:lang w:eastAsia="fr-FR"/>
        </w:rPr>
        <w:t xml:space="preserve"> m</w:t>
      </w:r>
      <w:r>
        <w:rPr>
          <w:rFonts w:ascii="Times New Roman" w:eastAsia="Times New Roman" w:hAnsi="Times New Roman"/>
          <w:sz w:val="20"/>
          <w:szCs w:val="20"/>
          <w:vertAlign w:val="superscript"/>
          <w:lang w:eastAsia="fr-FR"/>
        </w:rPr>
        <w:t>-1</w:t>
      </w:r>
      <w:r>
        <w:rPr>
          <w:rFonts w:ascii="Times New Roman" w:eastAsia="Times New Roman" w:hAnsi="Times New Roman"/>
          <w:sz w:val="20"/>
          <w:szCs w:val="20"/>
          <w:lang w:eastAsia="fr-FR"/>
        </w:rPr>
        <w:t>), et la mobilité µ (16.26 × 10</w:t>
      </w:r>
      <w:r>
        <w:rPr>
          <w:rFonts w:ascii="Times New Roman" w:eastAsia="Times New Roman" w:hAnsi="Times New Roman"/>
          <w:sz w:val="20"/>
          <w:szCs w:val="20"/>
          <w:vertAlign w:val="superscript"/>
          <w:lang w:eastAsia="fr-FR"/>
        </w:rPr>
        <w:t>-14</w:t>
      </w:r>
      <w:r>
        <w:rPr>
          <w:rFonts w:ascii="Times New Roman" w:eastAsia="Times New Roman" w:hAnsi="Times New Roman"/>
          <w:sz w:val="20"/>
          <w:szCs w:val="20"/>
          <w:lang w:eastAsia="fr-FR"/>
        </w:rPr>
        <w:t xml:space="preserve">  m</w:t>
      </w:r>
      <w:r>
        <w:rPr>
          <w:rFonts w:ascii="Times New Roman" w:eastAsia="Times New Roman" w:hAnsi="Times New Roman"/>
          <w:sz w:val="20"/>
          <w:szCs w:val="20"/>
          <w:vertAlign w:val="superscript"/>
          <w:lang w:eastAsia="fr-FR"/>
        </w:rPr>
        <w:t>2</w:t>
      </w:r>
      <w:r>
        <w:rPr>
          <w:rFonts w:ascii="Times New Roman" w:eastAsia="Times New Roman" w:hAnsi="Times New Roman"/>
          <w:sz w:val="20"/>
          <w:szCs w:val="20"/>
          <w:lang w:eastAsia="fr-FR"/>
        </w:rPr>
        <w:t xml:space="preserve"> V</w:t>
      </w:r>
      <w:r>
        <w:rPr>
          <w:rFonts w:ascii="Times New Roman" w:eastAsia="Times New Roman" w:hAnsi="Times New Roman"/>
          <w:sz w:val="20"/>
          <w:szCs w:val="20"/>
          <w:vertAlign w:val="superscript"/>
          <w:lang w:eastAsia="fr-FR"/>
        </w:rPr>
        <w:t>-1</w:t>
      </w:r>
      <w:r>
        <w:rPr>
          <w:rFonts w:ascii="Times New Roman" w:eastAsia="Times New Roman" w:hAnsi="Times New Roman"/>
          <w:sz w:val="20"/>
          <w:szCs w:val="20"/>
          <w:lang w:eastAsia="fr-FR"/>
        </w:rPr>
        <w:t xml:space="preserve"> s</w:t>
      </w:r>
      <w:r>
        <w:rPr>
          <w:rFonts w:ascii="Times New Roman" w:eastAsia="Times New Roman" w:hAnsi="Times New Roman"/>
          <w:sz w:val="20"/>
          <w:szCs w:val="20"/>
          <w:vertAlign w:val="superscript"/>
          <w:lang w:eastAsia="fr-FR"/>
        </w:rPr>
        <w:t>-1</w:t>
      </w:r>
      <w:r>
        <w:rPr>
          <w:rFonts w:ascii="Times New Roman" w:eastAsia="Times New Roman" w:hAnsi="Times New Roman"/>
          <w:sz w:val="20"/>
          <w:szCs w:val="20"/>
          <w:lang w:eastAsia="fr-FR"/>
        </w:rPr>
        <w:t xml:space="preserve">). </w:t>
      </w:r>
    </w:p>
    <w:p w:rsidR="00E92037" w:rsidRDefault="00E92037">
      <w:pPr>
        <w:spacing w:after="0" w:line="276" w:lineRule="auto"/>
        <w:ind w:firstLine="708"/>
        <w:jc w:val="both"/>
        <w:rPr>
          <w:rFonts w:ascii="Times New Roman" w:eastAsia="Times New Roman" w:hAnsi="Times New Roman"/>
          <w:sz w:val="20"/>
          <w:szCs w:val="20"/>
          <w:lang w:eastAsia="fr-FR"/>
        </w:rPr>
      </w:pPr>
    </w:p>
    <w:p w:rsidR="00E92037" w:rsidRDefault="00CB5092">
      <w:pPr>
        <w:spacing w:after="0" w:line="240" w:lineRule="auto"/>
        <w:ind w:firstLine="708"/>
        <w:jc w:val="both"/>
      </w:pPr>
      <w:r>
        <w:rPr>
          <w:rFonts w:ascii="Times New Roman" w:eastAsia="Times New Roman" w:hAnsi="Times New Roman"/>
          <w:sz w:val="20"/>
          <w:szCs w:val="20"/>
          <w:lang w:eastAsia="fr-FR"/>
        </w:rPr>
        <w:t xml:space="preserve">Les mesures de capacité et l’application du modèle de Mott-Schottky a permis de confirmer le type de conduction </w:t>
      </w:r>
      <w:r>
        <w:rPr>
          <w:rFonts w:ascii="Times New Roman" w:eastAsia="Times New Roman" w:hAnsi="Times New Roman"/>
          <w:i/>
          <w:sz w:val="20"/>
          <w:szCs w:val="20"/>
          <w:lang w:eastAsia="fr-FR"/>
        </w:rPr>
        <w:t>n</w:t>
      </w:r>
      <w:r>
        <w:rPr>
          <w:rFonts w:ascii="Times New Roman" w:eastAsia="Times New Roman" w:hAnsi="Times New Roman"/>
          <w:sz w:val="20"/>
          <w:szCs w:val="20"/>
          <w:lang w:eastAsia="fr-FR"/>
        </w:rPr>
        <w:t xml:space="preserve"> et de déterminer les potentiels de bandes plates (V</w:t>
      </w:r>
      <w:r>
        <w:rPr>
          <w:rFonts w:ascii="Times New Roman" w:eastAsia="Times New Roman" w:hAnsi="Times New Roman"/>
          <w:sz w:val="20"/>
          <w:szCs w:val="20"/>
          <w:vertAlign w:val="subscript"/>
          <w:lang w:eastAsia="fr-FR"/>
        </w:rPr>
        <w:t>bp</w:t>
      </w:r>
      <w:r>
        <w:rPr>
          <w:rFonts w:ascii="Times New Roman" w:eastAsia="Times New Roman" w:hAnsi="Times New Roman"/>
          <w:sz w:val="20"/>
          <w:szCs w:val="20"/>
          <w:lang w:eastAsia="fr-FR"/>
        </w:rPr>
        <w:t>). Ces derniers ont été assimilés aux potentiels de Fermi. La spectroscopie d'impédance électrochimique (EIS) appliquée au système S</w:t>
      </w:r>
      <w:r>
        <w:rPr>
          <w:rFonts w:ascii="Times New Roman" w:eastAsia="Times New Roman" w:hAnsi="Times New Roman"/>
          <w:sz w:val="20"/>
          <w:szCs w:val="20"/>
          <w:vertAlign w:val="subscript"/>
          <w:lang w:eastAsia="fr-FR"/>
        </w:rPr>
        <w:t>x</w:t>
      </w:r>
      <w:r>
        <w:rPr>
          <w:rFonts w:ascii="Times New Roman" w:eastAsia="Times New Roman" w:hAnsi="Times New Roman"/>
          <w:sz w:val="20"/>
          <w:szCs w:val="20"/>
          <w:lang w:eastAsia="fr-FR"/>
        </w:rPr>
        <w:t xml:space="preserve">ZnO/électrolyte a permis d’observer une contribution importante de deux types de résistance, bulk et joint de grains. Des représentations de circuits électroniques sont présentées et discutées. </w:t>
      </w:r>
    </w:p>
    <w:p w:rsidR="00E92037" w:rsidRDefault="00E92037">
      <w:pPr>
        <w:spacing w:after="0" w:line="240" w:lineRule="auto"/>
        <w:ind w:firstLine="720"/>
        <w:jc w:val="both"/>
        <w:rPr>
          <w:rFonts w:ascii="Times New Roman" w:eastAsia="Times New Roman" w:hAnsi="Times New Roman"/>
          <w:sz w:val="20"/>
          <w:szCs w:val="20"/>
          <w:lang w:eastAsia="fr-FR"/>
        </w:rPr>
      </w:pPr>
    </w:p>
    <w:p w:rsidR="00E92037" w:rsidRDefault="00CB5092">
      <w:pPr>
        <w:rPr>
          <w:rFonts w:ascii="Times New Roman" w:eastAsia="Times New Roman" w:hAnsi="Times New Roman"/>
          <w:sz w:val="20"/>
          <w:szCs w:val="20"/>
          <w:lang w:eastAsia="fr-FR"/>
        </w:rPr>
      </w:pPr>
      <w:r>
        <w:rPr>
          <w:rFonts w:ascii="Times New Roman" w:eastAsia="Times New Roman" w:hAnsi="Times New Roman"/>
          <w:sz w:val="20"/>
          <w:szCs w:val="20"/>
          <w:lang w:eastAsia="fr-FR"/>
        </w:rPr>
        <w:t>Les systèmes S</w:t>
      </w:r>
      <w:r>
        <w:rPr>
          <w:rFonts w:ascii="Times New Roman" w:eastAsia="Times New Roman" w:hAnsi="Times New Roman"/>
          <w:sz w:val="20"/>
          <w:szCs w:val="20"/>
          <w:vertAlign w:val="subscript"/>
          <w:lang w:eastAsia="fr-FR"/>
        </w:rPr>
        <w:t>x</w:t>
      </w:r>
      <w:r>
        <w:rPr>
          <w:rFonts w:ascii="Times New Roman" w:eastAsia="Times New Roman" w:hAnsi="Times New Roman"/>
          <w:sz w:val="20"/>
          <w:szCs w:val="20"/>
          <w:lang w:eastAsia="fr-FR"/>
        </w:rPr>
        <w:t>ZnO/Eosine (UV</w:t>
      </w:r>
      <w:r>
        <w:rPr>
          <w:rFonts w:ascii="Times New Roman" w:eastAsia="Times New Roman" w:hAnsi="Times New Roman"/>
          <w:sz w:val="20"/>
          <w:szCs w:val="20"/>
          <w:vertAlign w:val="subscript"/>
          <w:lang w:eastAsia="fr-FR"/>
        </w:rPr>
        <w:t>A</w:t>
      </w:r>
      <w:r>
        <w:rPr>
          <w:rFonts w:ascii="Times New Roman" w:eastAsia="Times New Roman" w:hAnsi="Times New Roman"/>
          <w:sz w:val="20"/>
          <w:szCs w:val="20"/>
          <w:lang w:eastAsia="fr-FR"/>
        </w:rPr>
        <w:t>), S</w:t>
      </w:r>
      <w:r>
        <w:rPr>
          <w:rFonts w:ascii="Times New Roman" w:eastAsia="Times New Roman" w:hAnsi="Times New Roman"/>
          <w:sz w:val="20"/>
          <w:szCs w:val="20"/>
          <w:vertAlign w:val="subscript"/>
          <w:lang w:eastAsia="fr-FR"/>
        </w:rPr>
        <w:t>x</w:t>
      </w:r>
      <w:r>
        <w:rPr>
          <w:rFonts w:ascii="Times New Roman" w:eastAsia="Times New Roman" w:hAnsi="Times New Roman"/>
          <w:sz w:val="20"/>
          <w:szCs w:val="20"/>
          <w:lang w:eastAsia="fr-FR"/>
        </w:rPr>
        <w:t>ZnO/Eosine (LED) et Cu</w:t>
      </w:r>
      <w:r>
        <w:rPr>
          <w:rFonts w:ascii="Times New Roman" w:eastAsia="Times New Roman" w:hAnsi="Times New Roman"/>
          <w:sz w:val="20"/>
          <w:szCs w:val="20"/>
          <w:vertAlign w:val="subscript"/>
          <w:lang w:eastAsia="fr-FR"/>
        </w:rPr>
        <w:t>2</w:t>
      </w:r>
      <w:r>
        <w:rPr>
          <w:rFonts w:ascii="Times New Roman" w:eastAsia="Times New Roman" w:hAnsi="Times New Roman"/>
          <w:sz w:val="20"/>
          <w:szCs w:val="20"/>
          <w:lang w:eastAsia="fr-FR"/>
        </w:rPr>
        <w:t>O/S</w:t>
      </w:r>
      <w:r>
        <w:rPr>
          <w:rFonts w:ascii="Times New Roman" w:eastAsia="Times New Roman" w:hAnsi="Times New Roman"/>
          <w:sz w:val="20"/>
          <w:szCs w:val="20"/>
          <w:vertAlign w:val="subscript"/>
          <w:lang w:eastAsia="fr-FR"/>
        </w:rPr>
        <w:t>x</w:t>
      </w:r>
      <w:r>
        <w:rPr>
          <w:rFonts w:ascii="Times New Roman" w:eastAsia="Times New Roman" w:hAnsi="Times New Roman"/>
          <w:sz w:val="20"/>
          <w:szCs w:val="20"/>
          <w:lang w:eastAsia="fr-FR"/>
        </w:rPr>
        <w:t>ZnO/Orange II (LED) ont été étudiés. Dans chaque cas, une physique différente intervient permettant d’identifier des grandeurs physiques déterminantes. A titre d’exemple,   le premier système a permis de déduire qu’une faible conduction optique (σ</w:t>
      </w:r>
      <w:r>
        <w:rPr>
          <w:rFonts w:ascii="Times New Roman" w:eastAsia="Times New Roman" w:hAnsi="Times New Roman"/>
          <w:sz w:val="20"/>
          <w:szCs w:val="20"/>
          <w:vertAlign w:val="subscript"/>
          <w:lang w:eastAsia="fr-FR"/>
        </w:rPr>
        <w:t>opt</w:t>
      </w:r>
      <w:r>
        <w:rPr>
          <w:rFonts w:ascii="Times New Roman" w:eastAsia="Times New Roman" w:hAnsi="Times New Roman"/>
          <w:sz w:val="20"/>
          <w:szCs w:val="20"/>
          <w:lang w:eastAsia="fr-FR"/>
        </w:rPr>
        <w:t>) combinée à un faible facteur de dissipation permet d’expliquer les performances remarquables du composé S</w:t>
      </w:r>
      <w:r>
        <w:rPr>
          <w:rFonts w:ascii="Times New Roman" w:eastAsia="Times New Roman" w:hAnsi="Times New Roman"/>
          <w:sz w:val="20"/>
          <w:szCs w:val="20"/>
          <w:vertAlign w:val="subscript"/>
          <w:lang w:eastAsia="fr-FR"/>
        </w:rPr>
        <w:t>0.2</w:t>
      </w:r>
      <w:r>
        <w:rPr>
          <w:rFonts w:ascii="Times New Roman" w:eastAsia="Times New Roman" w:hAnsi="Times New Roman"/>
          <w:sz w:val="20"/>
          <w:szCs w:val="20"/>
          <w:lang w:eastAsia="fr-FR"/>
        </w:rPr>
        <w:t>ZnO lorsque ce dernier se trouve sous photoactivation. Dans l’ensemble et quelque soit la configuration du système S</w:t>
      </w:r>
      <w:r>
        <w:rPr>
          <w:rFonts w:ascii="Times New Roman" w:eastAsia="Times New Roman" w:hAnsi="Times New Roman"/>
          <w:sz w:val="20"/>
          <w:szCs w:val="20"/>
          <w:vertAlign w:val="subscript"/>
          <w:lang w:eastAsia="fr-FR"/>
        </w:rPr>
        <w:t>x</w:t>
      </w:r>
      <w:r>
        <w:rPr>
          <w:rFonts w:ascii="Times New Roman" w:eastAsia="Times New Roman" w:hAnsi="Times New Roman"/>
          <w:sz w:val="20"/>
          <w:szCs w:val="20"/>
          <w:lang w:eastAsia="fr-FR"/>
        </w:rPr>
        <w:t xml:space="preserve">ZnO, le dopage anionique effectué est plus efficace que le dopage cationique reporté dans la littérature permettant de conclure en des résultats inédits.  </w:t>
      </w:r>
    </w:p>
    <w:p w:rsidR="005C316D" w:rsidRDefault="005C316D"/>
    <w:sectPr w:rsidR="005C316D" w:rsidSect="00250939">
      <w:pgSz w:w="11906" w:h="16838"/>
      <w:pgMar w:top="1417" w:right="1417" w:bottom="1417" w:left="141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1F31" w:rsidRDefault="00761F31">
      <w:pPr>
        <w:spacing w:after="0" w:line="240" w:lineRule="auto"/>
      </w:pPr>
      <w:r>
        <w:separator/>
      </w:r>
    </w:p>
  </w:endnote>
  <w:endnote w:type="continuationSeparator" w:id="1">
    <w:p w:rsidR="00761F31" w:rsidRDefault="00761F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1F31" w:rsidRDefault="00761F31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1">
    <w:p w:rsidR="00761F31" w:rsidRDefault="00761F3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92037"/>
    <w:rsid w:val="00250939"/>
    <w:rsid w:val="005C316D"/>
    <w:rsid w:val="006C77A7"/>
    <w:rsid w:val="00761F31"/>
    <w:rsid w:val="008748F9"/>
    <w:rsid w:val="00BB2A6C"/>
    <w:rsid w:val="00CB5092"/>
    <w:rsid w:val="00E920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fr-FR" w:eastAsia="en-US" w:bidi="ar-SA"/>
      </w:rPr>
    </w:rPrDefault>
    <w:pPrDefault>
      <w:pPr>
        <w:autoSpaceDN w:val="0"/>
        <w:spacing w:after="160" w:line="254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250939"/>
    <w:pPr>
      <w:suppressAutoHyphens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494</Words>
  <Characters>2820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dc:description/>
  <cp:lastModifiedBy>traitement</cp:lastModifiedBy>
  <cp:revision>4</cp:revision>
  <dcterms:created xsi:type="dcterms:W3CDTF">2016-12-05T15:18:00Z</dcterms:created>
  <dcterms:modified xsi:type="dcterms:W3CDTF">2017-03-02T13:17:00Z</dcterms:modified>
</cp:coreProperties>
</file>