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7DE" w:rsidRPr="00637E12" w:rsidRDefault="003737DE" w:rsidP="003737DE">
      <w:pPr>
        <w:pStyle w:val="Normal1"/>
        <w:jc w:val="both"/>
        <w:rPr>
          <w:b/>
          <w:bCs/>
          <w:sz w:val="23"/>
          <w:szCs w:val="23"/>
        </w:rPr>
      </w:pPr>
      <w:r w:rsidRPr="00637E12">
        <w:rPr>
          <w:b/>
          <w:bCs/>
        </w:rPr>
        <w:t>R</w:t>
      </w:r>
      <w:r w:rsidRPr="00637E12">
        <w:rPr>
          <w:b/>
          <w:bCs/>
          <w:caps/>
        </w:rPr>
        <w:t>ésumé</w:t>
      </w:r>
    </w:p>
    <w:p w:rsidR="003737DE" w:rsidRDefault="003737DE" w:rsidP="003737DE">
      <w:pPr>
        <w:jc w:val="both"/>
      </w:pPr>
    </w:p>
    <w:p w:rsidR="003737DE" w:rsidRPr="0008005E" w:rsidRDefault="003737DE" w:rsidP="003737DE">
      <w:pPr>
        <w:jc w:val="both"/>
      </w:pPr>
      <w:r w:rsidRPr="0008005E">
        <w:t xml:space="preserve">L’affinage des fromages de type camembert est principalement sous le contrôle de deux populations fongiques, </w:t>
      </w:r>
      <w:proofErr w:type="spellStart"/>
      <w:r w:rsidRPr="00637E12">
        <w:rPr>
          <w:i/>
          <w:iCs/>
        </w:rPr>
        <w:t>Geotrichum</w:t>
      </w:r>
      <w:proofErr w:type="spellEnd"/>
      <w:r w:rsidRPr="00637E12">
        <w:rPr>
          <w:i/>
          <w:iCs/>
        </w:rPr>
        <w:t xml:space="preserve"> </w:t>
      </w:r>
      <w:proofErr w:type="spellStart"/>
      <w:r w:rsidRPr="00637E12">
        <w:rPr>
          <w:i/>
          <w:iCs/>
        </w:rPr>
        <w:t>candidum</w:t>
      </w:r>
      <w:proofErr w:type="spellEnd"/>
      <w:r w:rsidRPr="0008005E">
        <w:t xml:space="preserve"> et </w:t>
      </w:r>
      <w:r w:rsidRPr="00637E12">
        <w:rPr>
          <w:i/>
          <w:iCs/>
        </w:rPr>
        <w:t>Penicillium camembertii</w:t>
      </w:r>
      <w:r w:rsidRPr="0008005E">
        <w:t>. L’essentiel des travaux présentés dans ce mémoire concerne la culture de ces deux microorganismes sur milieux liquides simples. Deux axes de recherche ont été privilégiés : (i) la description et la discussion des cinétiques de croissance, de consommation des substrats; (ii) la modélisation des différents comportements enregistrés lors de la culture des deux microorganismes dans différents milieux de cultures.</w:t>
      </w:r>
    </w:p>
    <w:p w:rsidR="003737DE" w:rsidRPr="0008005E" w:rsidRDefault="003737DE" w:rsidP="003737DE">
      <w:pPr>
        <w:jc w:val="both"/>
        <w:rPr>
          <w:iCs/>
        </w:rPr>
      </w:pPr>
      <w:r w:rsidRPr="0008005E">
        <w:t xml:space="preserve">L’examen des cinétiques obtenues sur milieu à base de glucose et d’acide aminés avait permis de caractériser </w:t>
      </w:r>
      <w:r w:rsidRPr="0008005E">
        <w:rPr>
          <w:bCs/>
          <w:iCs/>
        </w:rPr>
        <w:t xml:space="preserve">trois groupes d'acides amines selon leur habilité à être assimilés par </w:t>
      </w:r>
      <w:r w:rsidRPr="00637E12">
        <w:rPr>
          <w:bCs/>
          <w:i/>
        </w:rPr>
        <w:t>Penicillium</w:t>
      </w:r>
      <w:r w:rsidRPr="00637E12">
        <w:rPr>
          <w:i/>
        </w:rPr>
        <w:t xml:space="preserve"> camembertii</w:t>
      </w:r>
      <w:r w:rsidRPr="0008005E">
        <w:rPr>
          <w:iCs/>
        </w:rPr>
        <w:t xml:space="preserve">. Un comportement </w:t>
      </w:r>
      <w:proofErr w:type="spellStart"/>
      <w:r w:rsidRPr="0008005E">
        <w:rPr>
          <w:iCs/>
        </w:rPr>
        <w:t>diauxique</w:t>
      </w:r>
      <w:proofErr w:type="spellEnd"/>
      <w:r w:rsidRPr="0008005E">
        <w:rPr>
          <w:iCs/>
        </w:rPr>
        <w:t xml:space="preserve"> est enregistré sur le milieu de culture composé de glucose et d'acides aminés du second groupe (l'arginine), pour décrire ce comportement</w:t>
      </w:r>
      <w:r w:rsidRPr="0008005E">
        <w:rPr>
          <w:iCs/>
          <w:highlight w:val="white"/>
          <w:lang w:eastAsia="en-US"/>
        </w:rPr>
        <w:t xml:space="preserve"> métabolique</w:t>
      </w:r>
      <w:r w:rsidRPr="0008005E">
        <w:rPr>
          <w:iCs/>
        </w:rPr>
        <w:t xml:space="preserve">, un modèle </w:t>
      </w:r>
      <w:r w:rsidRPr="0008005E">
        <w:rPr>
          <w:iCs/>
          <w:highlight w:val="white"/>
          <w:lang w:eastAsia="en-US"/>
        </w:rPr>
        <w:t>non structuré</w:t>
      </w:r>
      <w:r w:rsidRPr="0008005E">
        <w:rPr>
          <w:iCs/>
        </w:rPr>
        <w:t xml:space="preserve"> a été développé, il est basé sur la cinétique de consommation séquentielle des deux substrats de carbone à savoir le glucose suivit après son épuisement par l'arginine. Le premier objectif de ce travail consistait à modifier ce modèle à fin de décrire les comportements enregistrés avec les autres acides aminés. Durant la croissance de </w:t>
      </w:r>
      <w:r w:rsidRPr="00637E12">
        <w:rPr>
          <w:bCs/>
          <w:i/>
        </w:rPr>
        <w:t>P. camembertii</w:t>
      </w:r>
      <w:r w:rsidRPr="0008005E">
        <w:rPr>
          <w:bCs/>
          <w:iCs/>
        </w:rPr>
        <w:t xml:space="preserve"> sur acides aminés et glucose </w:t>
      </w:r>
      <w:r w:rsidRPr="0008005E">
        <w:rPr>
          <w:iCs/>
        </w:rPr>
        <w:t xml:space="preserve">ce modèle retrace bien les différents comportements métaboliques enregistrés pour ce microorganisme. </w:t>
      </w:r>
    </w:p>
    <w:p w:rsidR="003737DE" w:rsidRPr="0008005E" w:rsidRDefault="003737DE" w:rsidP="003737DE">
      <w:pPr>
        <w:jc w:val="both"/>
        <w:rPr>
          <w:iCs/>
        </w:rPr>
      </w:pPr>
    </w:p>
    <w:p w:rsidR="003737DE" w:rsidRPr="0008005E" w:rsidRDefault="003737DE" w:rsidP="003737DE">
      <w:pPr>
        <w:jc w:val="both"/>
        <w:rPr>
          <w:iCs/>
        </w:rPr>
      </w:pPr>
      <w:r w:rsidRPr="0008005E">
        <w:rPr>
          <w:iCs/>
        </w:rPr>
        <w:t xml:space="preserve">Dans ce modèle, intervient uniquement, la partie de l'acide aminé assimilé comme source de </w:t>
      </w:r>
      <w:r>
        <w:rPr>
          <w:iCs/>
        </w:rPr>
        <w:t>c</w:t>
      </w:r>
      <w:r w:rsidRPr="0008005E">
        <w:rPr>
          <w:iCs/>
        </w:rPr>
        <w:t>arbone (elle est déduite de l'assimilation totale de l'acide aminé</w:t>
      </w:r>
      <w:r w:rsidRPr="0008005E">
        <w:rPr>
          <w:iCs/>
          <w:highlight w:val="white"/>
          <w:lang w:eastAsia="en-US"/>
        </w:rPr>
        <w:t xml:space="preserve">) </w:t>
      </w:r>
      <w:r w:rsidRPr="0008005E">
        <w:rPr>
          <w:iCs/>
          <w:vanish/>
          <w:lang w:eastAsia="en-US"/>
        </w:rPr>
        <w:t>¶</w:t>
      </w:r>
      <w:r w:rsidRPr="0008005E">
        <w:rPr>
          <w:iCs/>
        </w:rPr>
        <w:t xml:space="preserve">pour la biosynthèse cellulaire. Pour éviter ainsi l'utilisation d'un paramètre indirect, nous avons considéré dans la deuxième partie du travail, à la place de la partie de l'acide aminé utilisée comme source de carbone, l'ammonium, produit après désamination et correspondant à l'excès d'azote. </w:t>
      </w:r>
      <w:r w:rsidRPr="0008005E">
        <w:rPr>
          <w:iCs/>
          <w:highlight w:val="white"/>
          <w:lang w:eastAsia="en-US"/>
        </w:rPr>
        <w:t xml:space="preserve">Dans ce nouveau modèle intervient donc la consommation du carbone, la production de l'ammonium, ainsi que les rendements biomasse sur substrat de carbone </w:t>
      </w:r>
      <w:r w:rsidRPr="0008005E">
        <w:rPr>
          <w:iCs/>
          <w:position w:val="-16"/>
        </w:rPr>
        <w:object w:dxaOrig="62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pt;height:20pt" o:ole="">
            <v:imagedata r:id="rId4" o:title=""/>
          </v:shape>
          <o:OLEObject Type="Embed" ProgID="Equation.3" ShapeID="_x0000_i1025" DrawAspect="Content" ObjectID="_1381406412" r:id="rId5"/>
        </w:object>
      </w:r>
      <w:r w:rsidRPr="0008005E">
        <w:rPr>
          <w:iCs/>
        </w:rPr>
        <w:t>et biomasse sur l'ammonium produit</w:t>
      </w:r>
      <w:r w:rsidRPr="0008005E">
        <w:rPr>
          <w:iCs/>
          <w:vanish/>
          <w:highlight w:val="white"/>
          <w:lang w:eastAsia="en-US"/>
        </w:rPr>
        <w:t>¶</w:t>
      </w:r>
      <w:r w:rsidRPr="0008005E">
        <w:rPr>
          <w:iCs/>
          <w:position w:val="-16"/>
        </w:rPr>
        <w:object w:dxaOrig="700" w:dyaOrig="400">
          <v:shape id="_x0000_i1026" type="#_x0000_t75" style="width:36pt;height:20pt" o:ole="">
            <v:imagedata r:id="rId6" o:title=""/>
          </v:shape>
          <o:OLEObject Type="Embed" ProgID="Equation.3" ShapeID="_x0000_i1026" DrawAspect="Content" ObjectID="_1381406413" r:id="rId7"/>
        </w:object>
      </w:r>
      <w:r w:rsidRPr="0008005E">
        <w:rPr>
          <w:iCs/>
        </w:rPr>
        <w:t xml:space="preserve">. Pour confirmer la robustesse de ce modèle, ce dernier devrait décrire les différents comportements métaboliques enregistrés durant la croissance de </w:t>
      </w:r>
      <w:r w:rsidRPr="00637E12">
        <w:rPr>
          <w:bCs/>
          <w:i/>
        </w:rPr>
        <w:t>P. camembertii</w:t>
      </w:r>
      <w:r w:rsidRPr="0008005E">
        <w:rPr>
          <w:bCs/>
          <w:iCs/>
        </w:rPr>
        <w:t xml:space="preserve"> et </w:t>
      </w:r>
      <w:r w:rsidRPr="00637E12">
        <w:rPr>
          <w:bCs/>
          <w:i/>
        </w:rPr>
        <w:t xml:space="preserve">G. </w:t>
      </w:r>
      <w:proofErr w:type="spellStart"/>
      <w:r w:rsidRPr="00637E12">
        <w:rPr>
          <w:bCs/>
          <w:i/>
        </w:rPr>
        <w:t>candidum</w:t>
      </w:r>
      <w:proofErr w:type="spellEnd"/>
      <w:r w:rsidRPr="0008005E">
        <w:rPr>
          <w:bCs/>
          <w:iCs/>
        </w:rPr>
        <w:t xml:space="preserve"> sur acides aminés et glucose. </w:t>
      </w:r>
    </w:p>
    <w:p w:rsidR="003737DE" w:rsidRPr="0008005E" w:rsidRDefault="003737DE" w:rsidP="003737DE">
      <w:pPr>
        <w:pStyle w:val="Times"/>
        <w:spacing w:line="240" w:lineRule="auto"/>
        <w:rPr>
          <w:rFonts w:ascii="Times New Roman" w:hAnsi="Times New Roman" w:cs="Times New Roman"/>
          <w:b/>
        </w:rPr>
      </w:pPr>
    </w:p>
    <w:p w:rsidR="003737DE" w:rsidRPr="0008005E" w:rsidRDefault="003737DE" w:rsidP="003737DE">
      <w:pPr>
        <w:pStyle w:val="Times"/>
        <w:spacing w:line="240" w:lineRule="auto"/>
        <w:rPr>
          <w:rFonts w:ascii="Times New Roman" w:hAnsi="Times New Roman" w:cs="Times New Roman"/>
        </w:rPr>
      </w:pPr>
      <w:r w:rsidRPr="0008005E">
        <w:rPr>
          <w:rFonts w:ascii="Times New Roman" w:hAnsi="Times New Roman" w:cs="Times New Roman"/>
          <w:b/>
        </w:rPr>
        <w:t>Mots clés</w:t>
      </w:r>
      <w:r w:rsidRPr="0008005E">
        <w:rPr>
          <w:rFonts w:ascii="Times New Roman" w:hAnsi="Times New Roman" w:cs="Times New Roman"/>
        </w:rPr>
        <w:tab/>
      </w:r>
      <w:proofErr w:type="spellStart"/>
      <w:r w:rsidRPr="00637E12">
        <w:rPr>
          <w:rFonts w:ascii="Times New Roman" w:hAnsi="Times New Roman" w:cs="Times New Roman"/>
          <w:i/>
          <w:iCs/>
        </w:rPr>
        <w:t>Geotrichum</w:t>
      </w:r>
      <w:proofErr w:type="spellEnd"/>
      <w:r w:rsidRPr="00637E1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637E12">
        <w:rPr>
          <w:rFonts w:ascii="Times New Roman" w:hAnsi="Times New Roman" w:cs="Times New Roman"/>
          <w:i/>
          <w:iCs/>
        </w:rPr>
        <w:t>candidum</w:t>
      </w:r>
      <w:proofErr w:type="spellEnd"/>
      <w:r w:rsidRPr="00637E12">
        <w:rPr>
          <w:rFonts w:ascii="Times New Roman" w:hAnsi="Times New Roman" w:cs="Times New Roman"/>
          <w:i/>
          <w:iCs/>
        </w:rPr>
        <w:t>, Penicillium camembertii</w:t>
      </w:r>
      <w:r w:rsidRPr="0008005E">
        <w:rPr>
          <w:rFonts w:ascii="Times New Roman" w:hAnsi="Times New Roman" w:cs="Times New Roman"/>
        </w:rPr>
        <w:t>, Cinétiques, Modélisation</w:t>
      </w:r>
    </w:p>
    <w:p w:rsidR="008A1366" w:rsidRDefault="008A1366"/>
    <w:sectPr w:rsidR="008A1366" w:rsidSect="008A13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7"/>
  <w:proofState w:spelling="clean" w:grammar="clean"/>
  <w:defaultTabStop w:val="708"/>
  <w:hyphenationZone w:val="425"/>
  <w:characterSpacingControl w:val="doNotCompress"/>
  <w:compat/>
  <w:rsids>
    <w:rsidRoot w:val="003737DE"/>
    <w:rsid w:val="003737DE"/>
    <w:rsid w:val="008A13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37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mes">
    <w:name w:val="Times"/>
    <w:basedOn w:val="Normal"/>
    <w:rsid w:val="003737DE"/>
    <w:pPr>
      <w:spacing w:line="360" w:lineRule="atLeast"/>
      <w:jc w:val="both"/>
    </w:pPr>
    <w:rPr>
      <w:rFonts w:ascii="Times" w:hAnsi="Times" w:cs="Times"/>
    </w:rPr>
  </w:style>
  <w:style w:type="paragraph" w:customStyle="1" w:styleId="Normal1">
    <w:name w:val="Normal+1"/>
    <w:basedOn w:val="Normal"/>
    <w:next w:val="Normal"/>
    <w:uiPriority w:val="99"/>
    <w:rsid w:val="003737DE"/>
    <w:pPr>
      <w:autoSpaceDE w:val="0"/>
      <w:autoSpaceDN w:val="0"/>
      <w:adjustRightInd w:val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377</Words>
  <Characters>2075</Characters>
  <Application>Microsoft Office Word</Application>
  <DocSecurity>0</DocSecurity>
  <Lines>17</Lines>
  <Paragraphs>4</Paragraphs>
  <ScaleCrop>false</ScaleCrop>
  <Company>Worldnet</Company>
  <LinksUpToDate>false</LinksUpToDate>
  <CharactersWithSpaces>2448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hexals</dc:creator>
  <cp:keywords/>
  <dc:description/>
  <cp:lastModifiedBy>hexals</cp:lastModifiedBy>
  <cp:revision>2</cp:revision>
  <cp:lastPrinted>2011-10-29T14:12:00Z</cp:lastPrinted>
  <dcterms:created xsi:type="dcterms:W3CDTF">2011-10-29T14:10:00Z</dcterms:created>
  <dcterms:modified xsi:type="dcterms:W3CDTF">2011-10-29T14:14:00Z</dcterms:modified>
</cp:coreProperties>
</file>