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43977" w:rsidRPr="00585499" w:rsidRDefault="00585499" w:rsidP="00585499">
      <w:pPr>
        <w:jc w:val="center"/>
        <w:rPr>
          <w:rFonts w:asciiTheme="majorBidi" w:hAnsiTheme="majorBidi" w:cstheme="majorBidi"/>
          <w:b/>
          <w:bCs/>
          <w:sz w:val="28"/>
          <w:szCs w:val="28"/>
        </w:rPr>
      </w:pPr>
      <w:r w:rsidRPr="00585499">
        <w:rPr>
          <w:rFonts w:asciiTheme="majorBidi" w:hAnsiTheme="majorBidi" w:cstheme="majorBidi"/>
          <w:b/>
          <w:bCs/>
          <w:sz w:val="28"/>
          <w:szCs w:val="28"/>
        </w:rPr>
        <w:t>RESUME</w:t>
      </w:r>
    </w:p>
    <w:p w:rsidR="00585499" w:rsidRPr="002F1FD8" w:rsidRDefault="00585499" w:rsidP="00314E4F">
      <w:pPr>
        <w:spacing w:line="240" w:lineRule="auto"/>
        <w:jc w:val="center"/>
        <w:rPr>
          <w:rFonts w:asciiTheme="majorBidi" w:hAnsiTheme="majorBidi" w:cstheme="majorBidi"/>
          <w:sz w:val="28"/>
          <w:szCs w:val="28"/>
          <w:vertAlign w:val="superscript"/>
        </w:rPr>
      </w:pPr>
      <w:r w:rsidRPr="00585499">
        <w:rPr>
          <w:rFonts w:asciiTheme="majorBidi" w:hAnsiTheme="majorBidi" w:cstheme="majorBidi"/>
          <w:sz w:val="28"/>
          <w:szCs w:val="28"/>
        </w:rPr>
        <w:t>Mesure de</w:t>
      </w:r>
      <w:r w:rsidR="00843AD0">
        <w:rPr>
          <w:rFonts w:asciiTheme="majorBidi" w:hAnsiTheme="majorBidi" w:cstheme="majorBidi"/>
          <w:sz w:val="28"/>
          <w:szCs w:val="28"/>
        </w:rPr>
        <w:t xml:space="preserve"> la</w:t>
      </w:r>
      <w:r w:rsidRPr="00585499">
        <w:rPr>
          <w:rFonts w:asciiTheme="majorBidi" w:hAnsiTheme="majorBidi" w:cstheme="majorBidi"/>
          <w:sz w:val="28"/>
          <w:szCs w:val="28"/>
        </w:rPr>
        <w:t xml:space="preserve"> permittivité diélectrique complexe d’alcool en hyperfréquences</w:t>
      </w:r>
      <w:r w:rsidR="002F1FD8">
        <w:rPr>
          <w:rFonts w:asciiTheme="majorBidi" w:hAnsiTheme="majorBidi" w:cstheme="majorBidi"/>
          <w:sz w:val="28"/>
          <w:szCs w:val="28"/>
          <w:vertAlign w:val="superscript"/>
        </w:rPr>
        <w:t>*</w:t>
      </w:r>
    </w:p>
    <w:p w:rsidR="00D8222B" w:rsidRPr="00D8222B" w:rsidRDefault="00585499" w:rsidP="00D8222B">
      <w:pPr>
        <w:spacing w:line="240" w:lineRule="auto"/>
        <w:jc w:val="center"/>
        <w:rPr>
          <w:rFonts w:asciiTheme="majorBidi" w:hAnsiTheme="majorBidi" w:cstheme="majorBidi"/>
          <w:vertAlign w:val="superscript"/>
        </w:rPr>
      </w:pPr>
      <w:r w:rsidRPr="00585499">
        <w:rPr>
          <w:rFonts w:asciiTheme="majorBidi" w:hAnsiTheme="majorBidi" w:cstheme="majorBidi"/>
        </w:rPr>
        <w:t>B. SAYAH</w:t>
      </w:r>
      <w:r w:rsidR="006A3F17">
        <w:rPr>
          <w:rFonts w:asciiTheme="majorBidi" w:hAnsiTheme="majorBidi" w:cstheme="majorBidi"/>
        </w:rPr>
        <w:t xml:space="preserve"> </w:t>
      </w:r>
      <w:r w:rsidR="00D8222B">
        <w:rPr>
          <w:rFonts w:asciiTheme="majorBidi" w:hAnsiTheme="majorBidi" w:cstheme="majorBidi"/>
          <w:vertAlign w:val="superscript"/>
        </w:rPr>
        <w:t>**</w:t>
      </w:r>
    </w:p>
    <w:p w:rsidR="00585499" w:rsidRPr="00585499" w:rsidRDefault="00585499" w:rsidP="00314E4F">
      <w:pPr>
        <w:spacing w:line="240" w:lineRule="auto"/>
        <w:jc w:val="center"/>
        <w:rPr>
          <w:rFonts w:asciiTheme="majorBidi" w:hAnsiTheme="majorBidi" w:cstheme="majorBidi"/>
          <w:b/>
          <w:bCs/>
        </w:rPr>
      </w:pPr>
      <w:r w:rsidRPr="00585499">
        <w:rPr>
          <w:rFonts w:asciiTheme="majorBidi" w:hAnsiTheme="majorBidi" w:cstheme="majorBidi"/>
          <w:b/>
          <w:bCs/>
        </w:rPr>
        <w:t>L</w:t>
      </w:r>
      <w:r w:rsidRPr="00585499">
        <w:rPr>
          <w:rFonts w:asciiTheme="majorBidi" w:hAnsiTheme="majorBidi" w:cstheme="majorBidi"/>
        </w:rPr>
        <w:t xml:space="preserve">aboratoire </w:t>
      </w:r>
      <w:r w:rsidRPr="00585499">
        <w:rPr>
          <w:rFonts w:asciiTheme="majorBidi" w:hAnsiTheme="majorBidi" w:cstheme="majorBidi"/>
          <w:b/>
          <w:bCs/>
        </w:rPr>
        <w:t>P</w:t>
      </w:r>
      <w:r w:rsidRPr="00585499">
        <w:rPr>
          <w:rFonts w:asciiTheme="majorBidi" w:hAnsiTheme="majorBidi" w:cstheme="majorBidi"/>
        </w:rPr>
        <w:t xml:space="preserve">hysique des </w:t>
      </w:r>
      <w:r w:rsidRPr="00585499">
        <w:rPr>
          <w:rFonts w:asciiTheme="majorBidi" w:hAnsiTheme="majorBidi" w:cstheme="majorBidi"/>
          <w:b/>
          <w:bCs/>
        </w:rPr>
        <w:t>M</w:t>
      </w:r>
      <w:r w:rsidRPr="00585499">
        <w:rPr>
          <w:rFonts w:asciiTheme="majorBidi" w:hAnsiTheme="majorBidi" w:cstheme="majorBidi"/>
        </w:rPr>
        <w:t xml:space="preserve">atériaux,  </w:t>
      </w:r>
      <w:r>
        <w:rPr>
          <w:rFonts w:asciiTheme="majorBidi" w:hAnsiTheme="majorBidi" w:cstheme="majorBidi"/>
        </w:rPr>
        <w:t>F</w:t>
      </w:r>
      <w:r w:rsidRPr="00585499">
        <w:rPr>
          <w:rFonts w:asciiTheme="majorBidi" w:hAnsiTheme="majorBidi" w:cstheme="majorBidi"/>
        </w:rPr>
        <w:t>aculté de physique USTHB Alger</w:t>
      </w:r>
    </w:p>
    <w:p w:rsidR="009602D3" w:rsidRDefault="009D5830" w:rsidP="009602D3">
      <w:pPr>
        <w:spacing w:line="240" w:lineRule="auto"/>
        <w:ind w:firstLine="708"/>
        <w:jc w:val="both"/>
        <w:rPr>
          <w:rFonts w:asciiTheme="majorBidi" w:hAnsiTheme="majorBidi" w:cstheme="majorBidi"/>
          <w:b/>
          <w:bCs/>
          <w:sz w:val="24"/>
          <w:szCs w:val="24"/>
        </w:rPr>
      </w:pPr>
      <w:r w:rsidRPr="009D5830">
        <w:rPr>
          <w:rFonts w:asciiTheme="majorBidi" w:hAnsiTheme="majorBidi" w:cstheme="majorBidi"/>
          <w:sz w:val="24"/>
          <w:szCs w:val="24"/>
        </w:rPr>
        <w:t>Dans les milieux diélectriques, homogène ou inhomogène, entièrement entouré d’un conducteur idéal peuvent s’établir des ond</w:t>
      </w:r>
      <w:bookmarkStart w:id="0" w:name="_GoBack"/>
      <w:bookmarkEnd w:id="0"/>
      <w:r w:rsidRPr="009D5830">
        <w:rPr>
          <w:rFonts w:asciiTheme="majorBidi" w:hAnsiTheme="majorBidi" w:cstheme="majorBidi"/>
          <w:sz w:val="24"/>
          <w:szCs w:val="24"/>
        </w:rPr>
        <w:t xml:space="preserve">es stationnaires électromagnétiques uniquement qu’à des fréquences particulières. Une telle enceinte fermée est appelée </w:t>
      </w:r>
      <w:r w:rsidRPr="009D5830">
        <w:rPr>
          <w:rFonts w:asciiTheme="majorBidi" w:hAnsiTheme="majorBidi" w:cstheme="majorBidi"/>
          <w:b/>
          <w:bCs/>
          <w:i/>
          <w:iCs/>
          <w:sz w:val="24"/>
          <w:szCs w:val="24"/>
        </w:rPr>
        <w:t>cavité résonnante</w:t>
      </w:r>
      <w:r w:rsidR="009602D3">
        <w:rPr>
          <w:rFonts w:asciiTheme="majorBidi" w:hAnsiTheme="majorBidi" w:cstheme="majorBidi"/>
          <w:b/>
          <w:bCs/>
          <w:sz w:val="24"/>
          <w:szCs w:val="24"/>
        </w:rPr>
        <w:t>.</w:t>
      </w:r>
    </w:p>
    <w:p w:rsidR="00585499" w:rsidRPr="00585499" w:rsidRDefault="009602D3" w:rsidP="009602D3">
      <w:pPr>
        <w:spacing w:line="240" w:lineRule="auto"/>
        <w:ind w:firstLine="708"/>
        <w:jc w:val="both"/>
        <w:rPr>
          <w:rFonts w:asciiTheme="majorBidi" w:hAnsiTheme="majorBidi" w:cstheme="majorBidi"/>
          <w:sz w:val="24"/>
          <w:szCs w:val="24"/>
        </w:rPr>
      </w:pPr>
      <w:r>
        <w:rPr>
          <w:rFonts w:asciiTheme="majorBidi" w:hAnsiTheme="majorBidi" w:cstheme="majorBidi"/>
          <w:sz w:val="24"/>
          <w:szCs w:val="24"/>
        </w:rPr>
        <w:t>N</w:t>
      </w:r>
      <w:r w:rsidR="009D5830" w:rsidRPr="009D5830">
        <w:rPr>
          <w:rFonts w:asciiTheme="majorBidi" w:hAnsiTheme="majorBidi" w:cstheme="majorBidi"/>
          <w:sz w:val="24"/>
          <w:szCs w:val="24"/>
        </w:rPr>
        <w:t>ous utiliserons les hyperfréquences (bande I) qui sont  des  ondes  électromagnétiques  ayant  une  longueur  d'onde    de  l'ordre  du centimètre.  Avec ce type d'onde, il est possible, au même titre qu'avec les rayonnements visibles, infrarouges  et  autres,  de  produire  des  effets  d'interférence,  d'emmagasiner  de  l'énergie  et également de sonder les propriétés physiques diélectriques de la matière</w:t>
      </w:r>
    </w:p>
    <w:p w:rsidR="00585AF0" w:rsidRDefault="00D321C9" w:rsidP="00215BDB">
      <w:pPr>
        <w:spacing w:line="240" w:lineRule="auto"/>
        <w:ind w:firstLine="708"/>
        <w:jc w:val="both"/>
        <w:rPr>
          <w:rFonts w:asciiTheme="majorBidi" w:eastAsiaTheme="minorEastAsia" w:hAnsiTheme="majorBidi" w:cstheme="majorBidi"/>
          <w:sz w:val="24"/>
          <w:szCs w:val="24"/>
        </w:rPr>
      </w:pPr>
      <w:r>
        <w:rPr>
          <w:rFonts w:asciiTheme="majorBidi" w:hAnsiTheme="majorBidi" w:cstheme="majorBidi"/>
          <w:sz w:val="24"/>
          <w:szCs w:val="24"/>
        </w:rPr>
        <w:t>O</w:t>
      </w:r>
      <w:r w:rsidRPr="00D321C9">
        <w:rPr>
          <w:rFonts w:asciiTheme="majorBidi" w:hAnsiTheme="majorBidi" w:cstheme="majorBidi"/>
          <w:sz w:val="24"/>
          <w:szCs w:val="24"/>
        </w:rPr>
        <w:t xml:space="preserve">n se propose de mesurer la permittivité diélectrique complexe </w:t>
      </w:r>
      <w:r w:rsidR="00843AD0">
        <w:rPr>
          <w:rFonts w:asciiTheme="majorBidi" w:hAnsiTheme="majorBidi" w:cstheme="majorBidi"/>
          <w:sz w:val="24"/>
          <w:szCs w:val="24"/>
        </w:rPr>
        <w:t>d’</w:t>
      </w:r>
      <w:r>
        <w:rPr>
          <w:rFonts w:asciiTheme="majorBidi" w:hAnsiTheme="majorBidi" w:cstheme="majorBidi"/>
          <w:sz w:val="24"/>
          <w:szCs w:val="24"/>
        </w:rPr>
        <w:t xml:space="preserve">une série d’alcools primaires </w:t>
      </w:r>
      <w:r w:rsidR="00843AD0">
        <w:rPr>
          <w:rFonts w:asciiTheme="majorBidi" w:hAnsiTheme="majorBidi" w:cstheme="majorBidi"/>
          <w:sz w:val="24"/>
          <w:szCs w:val="24"/>
        </w:rPr>
        <w:t>où le nombre de carbone va de 1 à 10 (méthanol,…</w:t>
      </w:r>
      <w:proofErr w:type="spellStart"/>
      <w:r w:rsidR="00843AD0">
        <w:rPr>
          <w:rFonts w:asciiTheme="majorBidi" w:hAnsiTheme="majorBidi" w:cstheme="majorBidi"/>
          <w:sz w:val="24"/>
          <w:szCs w:val="24"/>
        </w:rPr>
        <w:t>décanol</w:t>
      </w:r>
      <w:proofErr w:type="spellEnd"/>
      <w:r w:rsidR="00843AD0">
        <w:rPr>
          <w:rFonts w:asciiTheme="majorBidi" w:hAnsiTheme="majorBidi" w:cstheme="majorBidi"/>
          <w:sz w:val="24"/>
          <w:szCs w:val="24"/>
        </w:rPr>
        <w:t>) sur</w:t>
      </w:r>
      <w:r w:rsidR="00DE39AB">
        <w:rPr>
          <w:rFonts w:asciiTheme="majorBidi" w:hAnsiTheme="majorBidi" w:cstheme="majorBidi"/>
          <w:sz w:val="24"/>
          <w:szCs w:val="24"/>
        </w:rPr>
        <w:t xml:space="preserve"> la bande</w:t>
      </w:r>
      <w:r w:rsidR="00843AD0">
        <w:rPr>
          <w:rFonts w:asciiTheme="majorBidi" w:hAnsiTheme="majorBidi" w:cstheme="majorBidi"/>
          <w:sz w:val="24"/>
          <w:szCs w:val="24"/>
        </w:rPr>
        <w:t xml:space="preserve"> de fréquence 8 à 10GHz</w:t>
      </w:r>
      <w:r w:rsidR="00DE39AB">
        <w:rPr>
          <w:rFonts w:asciiTheme="majorBidi" w:hAnsiTheme="majorBidi" w:cstheme="majorBidi"/>
          <w:sz w:val="24"/>
          <w:szCs w:val="24"/>
        </w:rPr>
        <w:t xml:space="preserve">. </w:t>
      </w:r>
      <w:r w:rsidRPr="00D321C9">
        <w:rPr>
          <w:rFonts w:asciiTheme="majorBidi" w:hAnsiTheme="majorBidi" w:cstheme="majorBidi"/>
          <w:sz w:val="24"/>
          <w:szCs w:val="24"/>
        </w:rPr>
        <w:t>La cellule de mesure est une cavité cylindrique</w:t>
      </w:r>
      <w:r w:rsidR="00646B52">
        <w:rPr>
          <w:rFonts w:asciiTheme="majorBidi" w:hAnsiTheme="majorBidi" w:cstheme="majorBidi"/>
          <w:sz w:val="24"/>
          <w:szCs w:val="24"/>
        </w:rPr>
        <w:t xml:space="preserve"> à section droite circulaire</w:t>
      </w:r>
      <w:r w:rsidR="00843AD0">
        <w:rPr>
          <w:rFonts w:asciiTheme="majorBidi" w:hAnsiTheme="majorBidi" w:cstheme="majorBidi"/>
          <w:sz w:val="24"/>
          <w:szCs w:val="24"/>
        </w:rPr>
        <w:t xml:space="preserve"> qui résonne dans le mode TM020. </w:t>
      </w:r>
      <w:r w:rsidR="00DB7637" w:rsidRPr="00DB7637">
        <w:rPr>
          <w:rFonts w:asciiTheme="majorBidi" w:hAnsiTheme="majorBidi" w:cstheme="majorBidi"/>
          <w:sz w:val="24"/>
          <w:szCs w:val="24"/>
        </w:rPr>
        <w:t xml:space="preserve">Les échantillons sont des </w:t>
      </w:r>
      <w:r w:rsidR="00D7523C">
        <w:rPr>
          <w:rFonts w:asciiTheme="majorBidi" w:hAnsiTheme="majorBidi" w:cstheme="majorBidi"/>
          <w:sz w:val="24"/>
          <w:szCs w:val="24"/>
        </w:rPr>
        <w:t xml:space="preserve">tubes </w:t>
      </w:r>
      <w:r w:rsidR="00DB7637" w:rsidRPr="00DB7637">
        <w:rPr>
          <w:rFonts w:asciiTheme="majorBidi" w:hAnsiTheme="majorBidi" w:cstheme="majorBidi"/>
          <w:sz w:val="24"/>
          <w:szCs w:val="24"/>
        </w:rPr>
        <w:t>capillaires en pyrex</w:t>
      </w:r>
      <w:r w:rsidRPr="00D321C9">
        <w:rPr>
          <w:rFonts w:asciiTheme="majorBidi" w:hAnsiTheme="majorBidi" w:cstheme="majorBidi"/>
          <w:sz w:val="24"/>
          <w:szCs w:val="24"/>
        </w:rPr>
        <w:t xml:space="preserve"> remplis de liquides à étudier</w:t>
      </w:r>
      <w:r w:rsidR="00843AD0">
        <w:rPr>
          <w:rFonts w:asciiTheme="majorBidi" w:hAnsiTheme="majorBidi" w:cstheme="majorBidi"/>
          <w:sz w:val="24"/>
          <w:szCs w:val="24"/>
        </w:rPr>
        <w:t xml:space="preserve">. </w:t>
      </w:r>
      <w:r w:rsidR="005F321B">
        <w:rPr>
          <w:rFonts w:asciiTheme="majorBidi" w:hAnsiTheme="majorBidi" w:cstheme="majorBidi"/>
          <w:sz w:val="24"/>
          <w:szCs w:val="24"/>
        </w:rPr>
        <w:t>C</w:t>
      </w:r>
      <w:r w:rsidR="00CE6A66">
        <w:rPr>
          <w:rFonts w:asciiTheme="majorBidi" w:hAnsiTheme="majorBidi" w:cstheme="majorBidi"/>
          <w:sz w:val="24"/>
          <w:szCs w:val="24"/>
        </w:rPr>
        <w:t>es derniers</w:t>
      </w:r>
      <w:r w:rsidRPr="00D321C9">
        <w:rPr>
          <w:rFonts w:asciiTheme="majorBidi" w:hAnsiTheme="majorBidi" w:cstheme="majorBidi"/>
          <w:sz w:val="24"/>
          <w:szCs w:val="24"/>
        </w:rPr>
        <w:t xml:space="preserve"> sont introduits à travers des trous d’insertions</w:t>
      </w:r>
      <w:r w:rsidR="00843AD0">
        <w:rPr>
          <w:rFonts w:asciiTheme="majorBidi" w:hAnsiTheme="majorBidi" w:cstheme="majorBidi"/>
          <w:sz w:val="24"/>
          <w:szCs w:val="24"/>
        </w:rPr>
        <w:t xml:space="preserve"> à l’intérieur de cette cavité. </w:t>
      </w:r>
      <w:r w:rsidRPr="00D321C9">
        <w:rPr>
          <w:rFonts w:asciiTheme="majorBidi" w:hAnsiTheme="majorBidi" w:cstheme="majorBidi"/>
          <w:sz w:val="24"/>
          <w:szCs w:val="24"/>
        </w:rPr>
        <w:t>Le glissement des courbes de ré</w:t>
      </w:r>
      <w:r w:rsidR="0082791B">
        <w:rPr>
          <w:rFonts w:asciiTheme="majorBidi" w:hAnsiTheme="majorBidi" w:cstheme="majorBidi"/>
          <w:sz w:val="24"/>
          <w:szCs w:val="24"/>
        </w:rPr>
        <w:t xml:space="preserve">sonance et leurs atténuations </w:t>
      </w:r>
      <w:r w:rsidR="00C00FFE">
        <w:rPr>
          <w:rFonts w:asciiTheme="majorBidi" w:hAnsiTheme="majorBidi" w:cstheme="majorBidi"/>
          <w:sz w:val="24"/>
          <w:szCs w:val="24"/>
        </w:rPr>
        <w:t>dus</w:t>
      </w:r>
      <w:r w:rsidRPr="00D321C9">
        <w:rPr>
          <w:rFonts w:asciiTheme="majorBidi" w:hAnsiTheme="majorBidi" w:cstheme="majorBidi"/>
          <w:sz w:val="24"/>
          <w:szCs w:val="24"/>
        </w:rPr>
        <w:t xml:space="preserve"> à l’introduction des échantillons, permettent de </w:t>
      </w:r>
      <w:r w:rsidR="0082791B">
        <w:rPr>
          <w:rFonts w:asciiTheme="majorBidi" w:hAnsiTheme="majorBidi" w:cstheme="majorBidi"/>
          <w:sz w:val="24"/>
          <w:szCs w:val="24"/>
        </w:rPr>
        <w:t>mesurer les</w:t>
      </w:r>
      <w:r w:rsidRPr="00D321C9">
        <w:rPr>
          <w:rFonts w:asciiTheme="majorBidi" w:hAnsiTheme="majorBidi" w:cstheme="majorBidi"/>
          <w:sz w:val="24"/>
          <w:szCs w:val="24"/>
        </w:rPr>
        <w:t xml:space="preserve"> variation</w:t>
      </w:r>
      <w:r w:rsidR="0082791B">
        <w:rPr>
          <w:rFonts w:asciiTheme="majorBidi" w:hAnsiTheme="majorBidi" w:cstheme="majorBidi"/>
          <w:sz w:val="24"/>
          <w:szCs w:val="24"/>
        </w:rPr>
        <w:t>s</w:t>
      </w:r>
      <w:r w:rsidRPr="00D321C9">
        <w:rPr>
          <w:rFonts w:asciiTheme="majorBidi" w:hAnsiTheme="majorBidi" w:cstheme="majorBidi"/>
          <w:sz w:val="24"/>
          <w:szCs w:val="24"/>
        </w:rPr>
        <w:t xml:space="preserve"> de fréquences de résonnance  et </w:t>
      </w:r>
      <w:r w:rsidR="0082791B">
        <w:rPr>
          <w:rFonts w:asciiTheme="majorBidi" w:hAnsiTheme="majorBidi" w:cstheme="majorBidi"/>
          <w:sz w:val="24"/>
          <w:szCs w:val="24"/>
        </w:rPr>
        <w:t>du</w:t>
      </w:r>
      <w:r w:rsidRPr="00D321C9">
        <w:rPr>
          <w:rFonts w:asciiTheme="majorBidi" w:hAnsiTheme="majorBidi" w:cstheme="majorBidi"/>
          <w:sz w:val="24"/>
          <w:szCs w:val="24"/>
        </w:rPr>
        <w:t xml:space="preserve"> coefficient de qualité</w:t>
      </w:r>
      <w:r w:rsidR="0082791B">
        <w:rPr>
          <w:rFonts w:asciiTheme="majorBidi" w:hAnsiTheme="majorBidi" w:cstheme="majorBidi"/>
          <w:sz w:val="24"/>
          <w:szCs w:val="24"/>
        </w:rPr>
        <w:t>.</w:t>
      </w:r>
      <w:r w:rsidR="0086129B">
        <w:rPr>
          <w:rFonts w:asciiTheme="majorBidi" w:hAnsiTheme="majorBidi" w:cstheme="majorBidi"/>
          <w:sz w:val="24"/>
          <w:szCs w:val="24"/>
        </w:rPr>
        <w:t xml:space="preserve"> </w:t>
      </w:r>
      <w:r w:rsidR="0082791B">
        <w:rPr>
          <w:rFonts w:asciiTheme="majorBidi" w:hAnsiTheme="majorBidi" w:cstheme="majorBidi"/>
          <w:sz w:val="24"/>
          <w:szCs w:val="24"/>
        </w:rPr>
        <w:t>L</w:t>
      </w:r>
      <w:r w:rsidR="00646B52">
        <w:rPr>
          <w:rFonts w:asciiTheme="majorBidi" w:hAnsiTheme="majorBidi" w:cstheme="majorBidi"/>
          <w:sz w:val="24"/>
          <w:szCs w:val="24"/>
        </w:rPr>
        <w:t xml:space="preserve">a </w:t>
      </w:r>
      <w:r w:rsidR="0082791B">
        <w:rPr>
          <w:rFonts w:asciiTheme="majorBidi" w:hAnsiTheme="majorBidi" w:cstheme="majorBidi"/>
          <w:sz w:val="24"/>
          <w:szCs w:val="24"/>
        </w:rPr>
        <w:t xml:space="preserve">constante diélectrique complexe </w:t>
      </w:r>
      <m:oMath>
        <m:sSup>
          <m:sSupPr>
            <m:ctrlPr>
              <w:rPr>
                <w:rFonts w:ascii="Cambria Math" w:hAnsi="Cambria Math" w:cstheme="majorBidi"/>
                <w:i/>
                <w:sz w:val="24"/>
                <w:szCs w:val="24"/>
              </w:rPr>
            </m:ctrlPr>
          </m:sSupPr>
          <m:e>
            <m:r>
              <w:rPr>
                <w:rFonts w:ascii="Cambria Math" w:hAnsi="Cambria Math" w:cstheme="majorBidi"/>
                <w:sz w:val="24"/>
                <w:szCs w:val="24"/>
              </w:rPr>
              <m:t>ε</m:t>
            </m:r>
          </m:e>
          <m:sup>
            <m:r>
              <w:rPr>
                <w:rFonts w:ascii="Cambria Math" w:hAnsi="Cambria Math" w:cstheme="majorBidi"/>
                <w:sz w:val="24"/>
                <w:szCs w:val="24"/>
              </w:rPr>
              <m:t>*</m:t>
            </m:r>
          </m:sup>
        </m:sSup>
      </m:oMath>
      <w:r w:rsidR="00DE39AB">
        <w:rPr>
          <w:rFonts w:asciiTheme="majorBidi" w:eastAsiaTheme="minorEastAsia" w:hAnsiTheme="majorBidi" w:cstheme="majorBidi"/>
          <w:sz w:val="24"/>
          <w:szCs w:val="24"/>
        </w:rPr>
        <w:t xml:space="preserve"> </w:t>
      </w:r>
      <w:r w:rsidR="0082791B">
        <w:rPr>
          <w:rFonts w:asciiTheme="majorBidi" w:eastAsiaTheme="minorEastAsia" w:hAnsiTheme="majorBidi" w:cstheme="majorBidi"/>
          <w:sz w:val="24"/>
          <w:szCs w:val="24"/>
        </w:rPr>
        <w:t xml:space="preserve">des échantillons, fonction de ces deux paramètres mesurable peut être déterminée </w:t>
      </w:r>
      <w:r w:rsidR="00DE39AB">
        <w:rPr>
          <w:rFonts w:asciiTheme="majorBidi" w:eastAsiaTheme="minorEastAsia" w:hAnsiTheme="majorBidi" w:cstheme="majorBidi"/>
          <w:sz w:val="24"/>
          <w:szCs w:val="24"/>
        </w:rPr>
        <w:t>par deux méthodes</w:t>
      </w:r>
      <w:r w:rsidR="0082791B">
        <w:rPr>
          <w:rFonts w:asciiTheme="majorBidi" w:eastAsiaTheme="minorEastAsia" w:hAnsiTheme="majorBidi" w:cstheme="majorBidi"/>
          <w:sz w:val="24"/>
          <w:szCs w:val="24"/>
        </w:rPr>
        <w:t xml:space="preserve"> de calcul différentes,</w:t>
      </w:r>
      <w:r w:rsidR="0082791B">
        <w:rPr>
          <w:rFonts w:asciiTheme="majorBidi" w:hAnsiTheme="majorBidi" w:cstheme="majorBidi"/>
          <w:b/>
          <w:bCs/>
          <w:sz w:val="24"/>
          <w:szCs w:val="24"/>
        </w:rPr>
        <w:t xml:space="preserve"> </w:t>
      </w:r>
      <w:r w:rsidR="002C75ED" w:rsidRPr="0082791B">
        <w:rPr>
          <w:rFonts w:asciiTheme="majorBidi" w:hAnsiTheme="majorBidi" w:cstheme="majorBidi"/>
          <w:sz w:val="24"/>
          <w:szCs w:val="24"/>
        </w:rPr>
        <w:t>la</w:t>
      </w:r>
      <w:r w:rsidR="00DE39AB" w:rsidRPr="0082791B">
        <w:rPr>
          <w:rFonts w:asciiTheme="majorBidi" w:hAnsiTheme="majorBidi" w:cstheme="majorBidi"/>
          <w:sz w:val="24"/>
          <w:szCs w:val="24"/>
        </w:rPr>
        <w:t xml:space="preserve"> méthode de </w:t>
      </w:r>
      <w:r w:rsidR="0086129B">
        <w:rPr>
          <w:rFonts w:asciiTheme="majorBidi" w:hAnsiTheme="majorBidi" w:cstheme="majorBidi"/>
          <w:sz w:val="24"/>
          <w:szCs w:val="24"/>
        </w:rPr>
        <w:t>perturbation, elle</w:t>
      </w:r>
      <w:r w:rsidR="00A04F95" w:rsidRPr="002C75ED">
        <w:rPr>
          <w:rFonts w:asciiTheme="majorBidi" w:hAnsiTheme="majorBidi" w:cstheme="majorBidi"/>
          <w:sz w:val="24"/>
          <w:szCs w:val="24"/>
        </w:rPr>
        <w:t xml:space="preserve"> a été utilisée pour la 1</w:t>
      </w:r>
      <w:r w:rsidR="00A04F95" w:rsidRPr="002C75ED">
        <w:rPr>
          <w:rFonts w:asciiTheme="majorBidi" w:hAnsiTheme="majorBidi" w:cstheme="majorBidi"/>
          <w:sz w:val="24"/>
          <w:szCs w:val="24"/>
          <w:vertAlign w:val="superscript"/>
        </w:rPr>
        <w:t>ère</w:t>
      </w:r>
      <w:r w:rsidR="0086129B">
        <w:rPr>
          <w:rFonts w:asciiTheme="majorBidi" w:hAnsiTheme="majorBidi" w:cstheme="majorBidi"/>
          <w:sz w:val="24"/>
          <w:szCs w:val="24"/>
        </w:rPr>
        <w:t xml:space="preserve"> fois par H.A. Bethe et </w:t>
      </w:r>
      <w:proofErr w:type="spellStart"/>
      <w:r w:rsidR="0086129B">
        <w:rPr>
          <w:rFonts w:asciiTheme="majorBidi" w:hAnsiTheme="majorBidi" w:cstheme="majorBidi"/>
          <w:sz w:val="24"/>
          <w:szCs w:val="24"/>
        </w:rPr>
        <w:t>J.Schwinger</w:t>
      </w:r>
      <w:proofErr w:type="spellEnd"/>
      <w:r w:rsidR="0086129B">
        <w:rPr>
          <w:rFonts w:asciiTheme="majorBidi" w:hAnsiTheme="majorBidi" w:cstheme="majorBidi"/>
          <w:sz w:val="24"/>
          <w:szCs w:val="24"/>
        </w:rPr>
        <w:t>,</w:t>
      </w:r>
      <w:r w:rsidR="00A04F95" w:rsidRPr="002C75ED">
        <w:rPr>
          <w:rFonts w:asciiTheme="majorBidi" w:hAnsiTheme="majorBidi" w:cstheme="majorBidi"/>
          <w:sz w:val="24"/>
          <w:szCs w:val="24"/>
        </w:rPr>
        <w:t xml:space="preserve"> en 1943, </w:t>
      </w:r>
      <w:r w:rsidR="0086129B">
        <w:rPr>
          <w:rFonts w:asciiTheme="majorBidi" w:eastAsiaTheme="minorEastAsia" w:hAnsiTheme="majorBidi" w:cstheme="majorBidi"/>
          <w:sz w:val="24"/>
          <w:szCs w:val="24"/>
        </w:rPr>
        <w:t>p</w:t>
      </w:r>
      <w:r w:rsidR="00822CDB">
        <w:rPr>
          <w:rFonts w:asciiTheme="majorBidi" w:eastAsiaTheme="minorEastAsia" w:hAnsiTheme="majorBidi" w:cstheme="majorBidi"/>
          <w:sz w:val="24"/>
          <w:szCs w:val="24"/>
        </w:rPr>
        <w:t>our évaluer la valeur de l’expression ainsi obtenue, on doit le plus souven</w:t>
      </w:r>
      <w:r w:rsidR="0086129B">
        <w:rPr>
          <w:rFonts w:asciiTheme="majorBidi" w:eastAsiaTheme="minorEastAsia" w:hAnsiTheme="majorBidi" w:cstheme="majorBidi"/>
          <w:sz w:val="24"/>
          <w:szCs w:val="24"/>
        </w:rPr>
        <w:t xml:space="preserve">t faire usage d’approximation, cette </w:t>
      </w:r>
      <w:r w:rsidR="00822CDB">
        <w:rPr>
          <w:rFonts w:asciiTheme="majorBidi" w:eastAsiaTheme="minorEastAsia" w:hAnsiTheme="majorBidi" w:cstheme="majorBidi"/>
          <w:sz w:val="24"/>
          <w:szCs w:val="24"/>
        </w:rPr>
        <w:t xml:space="preserve">méthode est de ce fait </w:t>
      </w:r>
      <w:r w:rsidR="00822CDB" w:rsidRPr="005F321B">
        <w:rPr>
          <w:rFonts w:asciiTheme="majorBidi" w:eastAsiaTheme="minorEastAsia" w:hAnsiTheme="majorBidi" w:cstheme="majorBidi"/>
          <w:sz w:val="24"/>
          <w:szCs w:val="24"/>
        </w:rPr>
        <w:t>approchée</w:t>
      </w:r>
      <w:r w:rsidR="00822CDB">
        <w:rPr>
          <w:rFonts w:asciiTheme="majorBidi" w:eastAsiaTheme="minorEastAsia" w:hAnsiTheme="majorBidi" w:cstheme="majorBidi"/>
          <w:sz w:val="24"/>
          <w:szCs w:val="24"/>
        </w:rPr>
        <w:t xml:space="preserve"> et ne donne de résultats satisfaisants que lorsque les perturbations sont suffisamment petites</w:t>
      </w:r>
      <w:r w:rsidR="00314E4F">
        <w:rPr>
          <w:rFonts w:asciiTheme="majorBidi" w:eastAsiaTheme="minorEastAsia" w:hAnsiTheme="majorBidi" w:cstheme="majorBidi"/>
          <w:sz w:val="24"/>
          <w:szCs w:val="24"/>
        </w:rPr>
        <w:t xml:space="preserve">. </w:t>
      </w:r>
      <w:r w:rsidR="00822CDB">
        <w:rPr>
          <w:rFonts w:asciiTheme="majorBidi" w:eastAsiaTheme="minorEastAsia" w:hAnsiTheme="majorBidi" w:cstheme="majorBidi"/>
          <w:sz w:val="24"/>
          <w:szCs w:val="24"/>
        </w:rPr>
        <w:t>En guides d’ondes, on les utilise notamment pour déterminer l’affaiblissement dû aux pertes par effet Joule,</w:t>
      </w:r>
      <w:r w:rsidR="0086129B">
        <w:rPr>
          <w:rFonts w:asciiTheme="majorBidi" w:eastAsiaTheme="minorEastAsia" w:hAnsiTheme="majorBidi" w:cstheme="majorBidi"/>
          <w:sz w:val="24"/>
          <w:szCs w:val="24"/>
        </w:rPr>
        <w:t xml:space="preserve"> dans les parois du guide et</w:t>
      </w:r>
      <w:r w:rsidR="00822CDB">
        <w:rPr>
          <w:rFonts w:asciiTheme="majorBidi" w:eastAsiaTheme="minorEastAsia" w:hAnsiTheme="majorBidi" w:cstheme="majorBidi"/>
          <w:sz w:val="24"/>
          <w:szCs w:val="24"/>
        </w:rPr>
        <w:t xml:space="preserve"> les effets produits par l’introduction d’un diélectrique</w:t>
      </w:r>
      <w:r w:rsidR="00585AF0">
        <w:rPr>
          <w:rFonts w:asciiTheme="majorBidi" w:eastAsiaTheme="minorEastAsia" w:hAnsiTheme="majorBidi" w:cstheme="majorBidi"/>
          <w:sz w:val="24"/>
          <w:szCs w:val="24"/>
        </w:rPr>
        <w:t xml:space="preserve">. </w:t>
      </w:r>
      <w:r w:rsidR="00585AF0" w:rsidRPr="00585AF0">
        <w:rPr>
          <w:rFonts w:asciiTheme="majorBidi" w:eastAsiaTheme="minorEastAsia" w:hAnsiTheme="majorBidi" w:cstheme="majorBidi"/>
          <w:sz w:val="24"/>
          <w:szCs w:val="24"/>
        </w:rPr>
        <w:t>Un simple calcul permet d’obtenir les valeurs de la permittivité diélectrique de l’échantillon.</w:t>
      </w:r>
      <w:r w:rsidR="00822CDB">
        <w:rPr>
          <w:rFonts w:asciiTheme="majorBidi" w:eastAsiaTheme="minorEastAsia" w:hAnsiTheme="majorBidi" w:cstheme="majorBidi"/>
          <w:sz w:val="24"/>
          <w:szCs w:val="24"/>
        </w:rPr>
        <w:t xml:space="preserve"> </w:t>
      </w:r>
      <w:r w:rsidR="000A1751">
        <w:rPr>
          <w:rFonts w:asciiTheme="majorBidi" w:eastAsiaTheme="minorEastAsia" w:hAnsiTheme="majorBidi" w:cstheme="majorBidi"/>
          <w:sz w:val="24"/>
          <w:szCs w:val="24"/>
        </w:rPr>
        <w:t xml:space="preserve">La deuxième est </w:t>
      </w:r>
      <w:r w:rsidR="000A1751" w:rsidRPr="000A1751">
        <w:rPr>
          <w:rFonts w:asciiTheme="majorBidi" w:eastAsiaTheme="minorEastAsia" w:hAnsiTheme="majorBidi" w:cstheme="majorBidi"/>
          <w:sz w:val="24"/>
          <w:szCs w:val="24"/>
        </w:rPr>
        <w:t>l</w:t>
      </w:r>
      <w:r w:rsidR="002C75ED" w:rsidRPr="000A1751">
        <w:rPr>
          <w:rFonts w:asciiTheme="majorBidi" w:eastAsiaTheme="minorEastAsia" w:hAnsiTheme="majorBidi" w:cstheme="majorBidi"/>
          <w:sz w:val="24"/>
          <w:szCs w:val="24"/>
        </w:rPr>
        <w:t>a</w:t>
      </w:r>
      <w:r w:rsidR="000A1751">
        <w:rPr>
          <w:rFonts w:asciiTheme="majorBidi" w:eastAsiaTheme="minorEastAsia" w:hAnsiTheme="majorBidi" w:cstheme="majorBidi"/>
          <w:sz w:val="24"/>
          <w:szCs w:val="24"/>
        </w:rPr>
        <w:t xml:space="preserve"> méthode de dispersion, </w:t>
      </w:r>
      <w:r w:rsidR="009D4D20">
        <w:rPr>
          <w:rFonts w:asciiTheme="majorBidi" w:eastAsiaTheme="minorEastAsia" w:hAnsiTheme="majorBidi" w:cstheme="majorBidi"/>
          <w:sz w:val="24"/>
          <w:szCs w:val="24"/>
        </w:rPr>
        <w:t>est basée sur les</w:t>
      </w:r>
      <w:r w:rsidR="002B6A32">
        <w:rPr>
          <w:rFonts w:asciiTheme="majorBidi" w:eastAsiaTheme="minorEastAsia" w:hAnsiTheme="majorBidi" w:cstheme="majorBidi"/>
          <w:sz w:val="24"/>
          <w:szCs w:val="24"/>
        </w:rPr>
        <w:t xml:space="preserve"> équations de Maxwell,</w:t>
      </w:r>
      <w:r w:rsidR="009D4D20">
        <w:rPr>
          <w:rFonts w:asciiTheme="majorBidi" w:eastAsiaTheme="minorEastAsia" w:hAnsiTheme="majorBidi" w:cstheme="majorBidi"/>
          <w:sz w:val="24"/>
          <w:szCs w:val="24"/>
        </w:rPr>
        <w:t xml:space="preserve"> et tient compte</w:t>
      </w:r>
      <w:r w:rsidR="002B6A32">
        <w:rPr>
          <w:rFonts w:asciiTheme="majorBidi" w:eastAsiaTheme="minorEastAsia" w:hAnsiTheme="majorBidi" w:cstheme="majorBidi"/>
          <w:sz w:val="24"/>
          <w:szCs w:val="24"/>
        </w:rPr>
        <w:t xml:space="preserve"> </w:t>
      </w:r>
      <w:r w:rsidR="009D4D20">
        <w:rPr>
          <w:rFonts w:asciiTheme="majorBidi" w:eastAsiaTheme="minorEastAsia" w:hAnsiTheme="majorBidi" w:cstheme="majorBidi"/>
          <w:sz w:val="24"/>
          <w:szCs w:val="24"/>
        </w:rPr>
        <w:t>d</w:t>
      </w:r>
      <w:r w:rsidR="00585AF0" w:rsidRPr="00585AF0">
        <w:rPr>
          <w:rFonts w:asciiTheme="majorBidi" w:eastAsiaTheme="minorEastAsia" w:hAnsiTheme="majorBidi" w:cstheme="majorBidi"/>
          <w:sz w:val="24"/>
          <w:szCs w:val="24"/>
        </w:rPr>
        <w:t>es conditions aux limites</w:t>
      </w:r>
      <w:r w:rsidR="009D4D20">
        <w:rPr>
          <w:rFonts w:asciiTheme="majorBidi" w:eastAsiaTheme="minorEastAsia" w:hAnsiTheme="majorBidi" w:cstheme="majorBidi"/>
          <w:sz w:val="24"/>
          <w:szCs w:val="24"/>
        </w:rPr>
        <w:t xml:space="preserve"> et d</w:t>
      </w:r>
      <w:r w:rsidR="002B6A32">
        <w:rPr>
          <w:rFonts w:asciiTheme="majorBidi" w:eastAsiaTheme="minorEastAsia" w:hAnsiTheme="majorBidi" w:cstheme="majorBidi"/>
          <w:sz w:val="24"/>
          <w:szCs w:val="24"/>
        </w:rPr>
        <w:t xml:space="preserve">es </w:t>
      </w:r>
      <w:r w:rsidR="002B6A32" w:rsidRPr="002C75ED">
        <w:rPr>
          <w:rFonts w:asciiTheme="majorBidi" w:eastAsiaTheme="minorEastAsia" w:hAnsiTheme="majorBidi" w:cstheme="majorBidi"/>
          <w:sz w:val="24"/>
          <w:szCs w:val="24"/>
        </w:rPr>
        <w:t>r</w:t>
      </w:r>
      <w:r w:rsidR="009D4D20">
        <w:rPr>
          <w:rFonts w:asciiTheme="majorBidi" w:hAnsiTheme="majorBidi" w:cstheme="majorBidi"/>
          <w:sz w:val="24"/>
          <w:szCs w:val="24"/>
        </w:rPr>
        <w:t xml:space="preserve">elations entre les différents </w:t>
      </w:r>
      <w:r w:rsidR="002B6A32" w:rsidRPr="002C75ED">
        <w:rPr>
          <w:rFonts w:asciiTheme="majorBidi" w:hAnsiTheme="majorBidi" w:cstheme="majorBidi"/>
          <w:sz w:val="24"/>
          <w:szCs w:val="24"/>
        </w:rPr>
        <w:t>vecteurs</w:t>
      </w:r>
      <w:r w:rsidR="002B6A32">
        <w:rPr>
          <w:rFonts w:asciiTheme="majorBidi" w:eastAsiaTheme="minorEastAsia" w:hAnsiTheme="majorBidi" w:cstheme="majorBidi"/>
        </w:rPr>
        <w:t xml:space="preserve"> </w:t>
      </w:r>
      <w:r w:rsidR="002B6A32" w:rsidRPr="002B6A32">
        <w:rPr>
          <w:rFonts w:asciiTheme="majorBidi" w:eastAsiaTheme="minorEastAsia" w:hAnsiTheme="majorBidi" w:cstheme="majorBidi"/>
          <w:sz w:val="24"/>
          <w:szCs w:val="24"/>
        </w:rPr>
        <w:t>d’ondes</w:t>
      </w:r>
      <w:r w:rsidR="0062384F">
        <w:rPr>
          <w:rFonts w:asciiTheme="majorBidi" w:eastAsiaTheme="minorEastAsia" w:hAnsiTheme="majorBidi" w:cstheme="majorBidi"/>
          <w:sz w:val="24"/>
          <w:szCs w:val="24"/>
        </w:rPr>
        <w:t>,</w:t>
      </w:r>
      <w:r w:rsidR="00920190">
        <w:rPr>
          <w:rFonts w:asciiTheme="majorBidi" w:eastAsiaTheme="minorEastAsia" w:hAnsiTheme="majorBidi" w:cstheme="majorBidi"/>
          <w:sz w:val="24"/>
          <w:szCs w:val="24"/>
        </w:rPr>
        <w:t xml:space="preserve"> l’équation cependant </w:t>
      </w:r>
      <w:r w:rsidR="00E82BBF" w:rsidRPr="002B6A32">
        <w:rPr>
          <w:rFonts w:asciiTheme="majorBidi" w:hAnsiTheme="majorBidi" w:cstheme="majorBidi"/>
          <w:sz w:val="24"/>
          <w:szCs w:val="24"/>
        </w:rPr>
        <w:t>obt</w:t>
      </w:r>
      <w:r w:rsidR="00920190">
        <w:rPr>
          <w:rFonts w:asciiTheme="majorBidi" w:hAnsiTheme="majorBidi" w:cstheme="majorBidi"/>
          <w:sz w:val="24"/>
          <w:szCs w:val="24"/>
        </w:rPr>
        <w:t xml:space="preserve">enue est </w:t>
      </w:r>
      <w:r w:rsidR="002B6A32">
        <w:rPr>
          <w:rFonts w:asciiTheme="majorBidi" w:hAnsiTheme="majorBidi" w:cstheme="majorBidi"/>
          <w:sz w:val="24"/>
          <w:szCs w:val="24"/>
        </w:rPr>
        <w:t xml:space="preserve">transcendante, sa </w:t>
      </w:r>
      <w:r w:rsidR="002B6A32" w:rsidRPr="002C75ED">
        <w:rPr>
          <w:rFonts w:asciiTheme="majorBidi" w:hAnsiTheme="majorBidi" w:cstheme="majorBidi"/>
          <w:sz w:val="24"/>
          <w:szCs w:val="24"/>
        </w:rPr>
        <w:t xml:space="preserve">résolution </w:t>
      </w:r>
      <w:r w:rsidR="002B6A32" w:rsidRPr="002B6A32">
        <w:rPr>
          <w:rFonts w:asciiTheme="majorBidi" w:hAnsiTheme="majorBidi" w:cstheme="majorBidi"/>
          <w:sz w:val="24"/>
          <w:szCs w:val="24"/>
        </w:rPr>
        <w:t>se fait par des méthodes numériques</w:t>
      </w:r>
      <w:r w:rsidR="00920190">
        <w:rPr>
          <w:rFonts w:asciiTheme="majorBidi" w:hAnsiTheme="majorBidi" w:cstheme="majorBidi"/>
          <w:sz w:val="24"/>
          <w:szCs w:val="24"/>
        </w:rPr>
        <w:t xml:space="preserve">. A cet effet, un programme informatique a été conçu afin de déduire la valeur de </w:t>
      </w:r>
      <w:r w:rsidR="002B6A32">
        <w:rPr>
          <w:rFonts w:asciiTheme="majorBidi" w:hAnsiTheme="majorBidi" w:cstheme="majorBidi"/>
          <w:sz w:val="24"/>
          <w:szCs w:val="24"/>
        </w:rPr>
        <w:t xml:space="preserve"> </w:t>
      </w:r>
      <w:r w:rsidR="0062384F" w:rsidRPr="0062384F">
        <w:rPr>
          <w:rFonts w:asciiTheme="majorBidi" w:eastAsiaTheme="minorEastAsia" w:hAnsiTheme="majorBidi" w:cstheme="majorBidi"/>
          <w:sz w:val="24"/>
          <w:szCs w:val="24"/>
        </w:rPr>
        <w:t>la permittivité</w:t>
      </w:r>
      <w:r w:rsidR="0062384F">
        <w:rPr>
          <w:rFonts w:asciiTheme="majorBidi" w:eastAsiaTheme="minorEastAsia" w:hAnsiTheme="majorBidi" w:cstheme="majorBidi"/>
          <w:sz w:val="24"/>
          <w:szCs w:val="24"/>
        </w:rPr>
        <w:t xml:space="preserve"> complexe</w:t>
      </w:r>
      <w:r w:rsidR="0062384F" w:rsidRPr="0062384F">
        <w:rPr>
          <w:rFonts w:asciiTheme="majorBidi" w:eastAsiaTheme="minorEastAsia" w:hAnsiTheme="majorBidi" w:cstheme="majorBidi"/>
          <w:sz w:val="24"/>
          <w:szCs w:val="24"/>
        </w:rPr>
        <w:t xml:space="preserve"> de l’échantillon.</w:t>
      </w:r>
    </w:p>
    <w:p w:rsidR="009602D3" w:rsidRDefault="0062384F" w:rsidP="002F1FD8">
      <w:pPr>
        <w:spacing w:line="240" w:lineRule="auto"/>
        <w:ind w:firstLine="360"/>
        <w:jc w:val="both"/>
        <w:rPr>
          <w:rFonts w:asciiTheme="majorBidi" w:eastAsiaTheme="minorEastAsia" w:hAnsiTheme="majorBidi" w:cstheme="majorBidi"/>
          <w:sz w:val="24"/>
          <w:szCs w:val="24"/>
        </w:rPr>
      </w:pPr>
      <w:r>
        <w:rPr>
          <w:rFonts w:asciiTheme="majorBidi" w:eastAsiaTheme="minorEastAsia" w:hAnsiTheme="majorBidi" w:cstheme="majorBidi"/>
          <w:sz w:val="24"/>
          <w:szCs w:val="24"/>
        </w:rPr>
        <w:t xml:space="preserve">Ces deux </w:t>
      </w:r>
      <w:r w:rsidR="00215BDB">
        <w:rPr>
          <w:rFonts w:asciiTheme="majorBidi" w:eastAsiaTheme="minorEastAsia" w:hAnsiTheme="majorBidi" w:cstheme="majorBidi"/>
          <w:sz w:val="24"/>
          <w:szCs w:val="24"/>
        </w:rPr>
        <w:t>méthodes</w:t>
      </w:r>
      <w:r>
        <w:rPr>
          <w:rFonts w:asciiTheme="majorBidi" w:eastAsiaTheme="minorEastAsia" w:hAnsiTheme="majorBidi" w:cstheme="majorBidi"/>
          <w:sz w:val="24"/>
          <w:szCs w:val="24"/>
        </w:rPr>
        <w:t xml:space="preserve"> ont été appliquées pour déterminer la constante </w:t>
      </w:r>
      <m:oMath>
        <m:sSup>
          <m:sSupPr>
            <m:ctrlPr>
              <w:rPr>
                <w:rFonts w:ascii="Cambria Math" w:hAnsi="Cambria Math" w:cstheme="majorBidi"/>
                <w:i/>
                <w:sz w:val="24"/>
                <w:szCs w:val="24"/>
              </w:rPr>
            </m:ctrlPr>
          </m:sSupPr>
          <m:e>
            <m:r>
              <w:rPr>
                <w:rFonts w:ascii="Cambria Math" w:hAnsi="Cambria Math" w:cstheme="majorBidi"/>
                <w:sz w:val="24"/>
                <w:szCs w:val="24"/>
              </w:rPr>
              <m:t>ε</m:t>
            </m:r>
          </m:e>
          <m:sup>
            <m:r>
              <w:rPr>
                <w:rFonts w:ascii="Cambria Math" w:hAnsi="Cambria Math" w:cstheme="majorBidi"/>
                <w:sz w:val="24"/>
                <w:szCs w:val="24"/>
              </w:rPr>
              <m:t>*</m:t>
            </m:r>
          </m:sup>
        </m:sSup>
      </m:oMath>
      <w:r w:rsidR="00AB705B">
        <w:rPr>
          <w:rFonts w:asciiTheme="majorBidi" w:eastAsiaTheme="minorEastAsia" w:hAnsiTheme="majorBidi" w:cstheme="majorBidi"/>
          <w:sz w:val="24"/>
          <w:szCs w:val="24"/>
        </w:rPr>
        <w:t xml:space="preserve"> </w:t>
      </w:r>
      <w:r w:rsidR="00215BDB">
        <w:rPr>
          <w:rFonts w:asciiTheme="majorBidi" w:eastAsiaTheme="minorEastAsia" w:hAnsiTheme="majorBidi" w:cstheme="majorBidi"/>
          <w:sz w:val="24"/>
          <w:szCs w:val="24"/>
        </w:rPr>
        <w:t>d’une</w:t>
      </w:r>
      <w:r>
        <w:rPr>
          <w:rFonts w:asciiTheme="majorBidi" w:eastAsiaTheme="minorEastAsia" w:hAnsiTheme="majorBidi" w:cstheme="majorBidi"/>
          <w:sz w:val="24"/>
          <w:szCs w:val="24"/>
        </w:rPr>
        <w:t xml:space="preserve"> série d’alcools</w:t>
      </w:r>
      <w:r w:rsidR="005F321B">
        <w:rPr>
          <w:rFonts w:asciiTheme="majorBidi" w:eastAsiaTheme="minorEastAsia" w:hAnsiTheme="majorBidi" w:cstheme="majorBidi"/>
          <w:sz w:val="24"/>
          <w:szCs w:val="24"/>
        </w:rPr>
        <w:t xml:space="preserve"> primaires</w:t>
      </w:r>
      <w:r w:rsidR="004074F2" w:rsidRPr="004074F2">
        <w:rPr>
          <w:rFonts w:asciiTheme="majorBidi" w:eastAsiaTheme="minorEastAsia" w:hAnsiTheme="majorBidi" w:cstheme="majorBidi"/>
          <w:sz w:val="24"/>
          <w:szCs w:val="24"/>
        </w:rPr>
        <w:t xml:space="preserve"> </w:t>
      </w:r>
      <w:r w:rsidR="004074F2">
        <w:rPr>
          <w:rFonts w:asciiTheme="majorBidi" w:eastAsiaTheme="minorEastAsia" w:hAnsiTheme="majorBidi" w:cstheme="majorBidi"/>
          <w:sz w:val="24"/>
          <w:szCs w:val="24"/>
        </w:rPr>
        <w:t>et d’illustrer l’effet de la longueur de la chaine de carbone de ces alcools (nombre de carbone) sur la variation de la permittivité diélectrique</w:t>
      </w:r>
      <w:r w:rsidR="001E389F">
        <w:rPr>
          <w:rFonts w:asciiTheme="majorBidi" w:eastAsiaTheme="minorEastAsia" w:hAnsiTheme="majorBidi" w:cstheme="majorBidi"/>
          <w:sz w:val="24"/>
          <w:szCs w:val="24"/>
        </w:rPr>
        <w:t xml:space="preserve">. </w:t>
      </w:r>
      <w:r w:rsidR="004074F2">
        <w:rPr>
          <w:rFonts w:asciiTheme="majorBidi" w:eastAsiaTheme="minorEastAsia" w:hAnsiTheme="majorBidi" w:cstheme="majorBidi"/>
          <w:sz w:val="24"/>
          <w:szCs w:val="24"/>
        </w:rPr>
        <w:t>Ceci a aussi nécessité, un étalonnage préalable du</w:t>
      </w:r>
      <w:r w:rsidR="001D07AE" w:rsidRPr="001D07AE">
        <w:rPr>
          <w:rFonts w:asciiTheme="majorBidi" w:eastAsiaTheme="minorEastAsia" w:hAnsiTheme="majorBidi" w:cstheme="majorBidi"/>
          <w:sz w:val="24"/>
          <w:szCs w:val="24"/>
        </w:rPr>
        <w:t xml:space="preserve"> dispositif de mesure</w:t>
      </w:r>
      <w:r w:rsidR="00AB705B">
        <w:rPr>
          <w:rFonts w:asciiTheme="majorBidi" w:eastAsiaTheme="minorEastAsia" w:hAnsiTheme="majorBidi" w:cstheme="majorBidi"/>
          <w:sz w:val="24"/>
          <w:szCs w:val="24"/>
        </w:rPr>
        <w:t>. Les résultats obtenus</w:t>
      </w:r>
      <w:r w:rsidR="00CE12B7">
        <w:rPr>
          <w:rFonts w:asciiTheme="majorBidi" w:eastAsiaTheme="minorEastAsia" w:hAnsiTheme="majorBidi" w:cstheme="majorBidi"/>
          <w:sz w:val="24"/>
          <w:szCs w:val="24"/>
        </w:rPr>
        <w:t xml:space="preserve"> de ces alcools</w:t>
      </w:r>
      <w:r w:rsidR="00AB705B">
        <w:rPr>
          <w:rFonts w:asciiTheme="majorBidi" w:eastAsiaTheme="minorEastAsia" w:hAnsiTheme="majorBidi" w:cstheme="majorBidi"/>
          <w:sz w:val="24"/>
          <w:szCs w:val="24"/>
        </w:rPr>
        <w:t xml:space="preserve"> </w:t>
      </w:r>
      <w:r w:rsidR="004074F2">
        <w:rPr>
          <w:rFonts w:asciiTheme="majorBidi" w:eastAsiaTheme="minorEastAsia" w:hAnsiTheme="majorBidi" w:cstheme="majorBidi"/>
          <w:sz w:val="24"/>
          <w:szCs w:val="24"/>
        </w:rPr>
        <w:t xml:space="preserve">par ces deux méthodes </w:t>
      </w:r>
      <w:r w:rsidR="00AB705B">
        <w:rPr>
          <w:rFonts w:asciiTheme="majorBidi" w:eastAsiaTheme="minorEastAsia" w:hAnsiTheme="majorBidi" w:cstheme="majorBidi"/>
          <w:sz w:val="24"/>
          <w:szCs w:val="24"/>
        </w:rPr>
        <w:t>ont été comparés à ceux trouvés dans la littérature</w:t>
      </w:r>
      <w:r w:rsidR="005F321B">
        <w:rPr>
          <w:rFonts w:asciiTheme="majorBidi" w:eastAsiaTheme="minorEastAsia" w:hAnsiTheme="majorBidi" w:cstheme="majorBidi"/>
          <w:sz w:val="24"/>
          <w:szCs w:val="24"/>
        </w:rPr>
        <w:t>.</w:t>
      </w:r>
    </w:p>
    <w:p w:rsidR="0045559C" w:rsidRDefault="009602D3" w:rsidP="0045559C">
      <w:pPr>
        <w:pBdr>
          <w:bottom w:val="single" w:sz="6" w:space="1" w:color="auto"/>
        </w:pBdr>
        <w:jc w:val="both"/>
        <w:rPr>
          <w:rFonts w:asciiTheme="majorBidi" w:eastAsiaTheme="minorEastAsia" w:hAnsiTheme="majorBidi" w:cstheme="majorBidi"/>
          <w:sz w:val="24"/>
          <w:szCs w:val="24"/>
        </w:rPr>
      </w:pPr>
      <w:r w:rsidRPr="009602D3">
        <w:rPr>
          <w:rFonts w:asciiTheme="majorBidi" w:eastAsiaTheme="minorEastAsia" w:hAnsiTheme="majorBidi" w:cstheme="majorBidi"/>
          <w:b/>
          <w:bCs/>
          <w:sz w:val="24"/>
          <w:szCs w:val="24"/>
        </w:rPr>
        <w:t>Mots clés :</w:t>
      </w:r>
      <w:r>
        <w:rPr>
          <w:rFonts w:asciiTheme="majorBidi" w:eastAsiaTheme="minorEastAsia" w:hAnsiTheme="majorBidi" w:cstheme="majorBidi"/>
          <w:b/>
          <w:bCs/>
          <w:sz w:val="24"/>
          <w:szCs w:val="24"/>
        </w:rPr>
        <w:t xml:space="preserve"> </w:t>
      </w:r>
      <w:r>
        <w:rPr>
          <w:rFonts w:asciiTheme="majorBidi" w:eastAsiaTheme="minorEastAsia" w:hAnsiTheme="majorBidi" w:cstheme="majorBidi"/>
          <w:sz w:val="24"/>
          <w:szCs w:val="24"/>
        </w:rPr>
        <w:t>hyperfréquences, diélectriques, cavité cylindrique résonnante, alcools primaires.</w:t>
      </w:r>
    </w:p>
    <w:p w:rsidR="00867037" w:rsidRDefault="002F1FD8" w:rsidP="00867037">
      <w:pPr>
        <w:spacing w:line="24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vertAlign w:val="superscript"/>
        </w:rPr>
        <w:t>*</w:t>
      </w:r>
      <w:r>
        <w:rPr>
          <w:rFonts w:asciiTheme="majorBidi" w:eastAsiaTheme="minorEastAsia" w:hAnsiTheme="majorBidi" w:cstheme="majorBidi"/>
          <w:sz w:val="24"/>
          <w:szCs w:val="24"/>
        </w:rPr>
        <w:t>Mémoire de Magister</w:t>
      </w:r>
    </w:p>
    <w:p w:rsidR="002F1FD8" w:rsidRPr="005F321B" w:rsidRDefault="002F1FD8" w:rsidP="00D8222B">
      <w:pPr>
        <w:spacing w:line="240" w:lineRule="auto"/>
        <w:jc w:val="both"/>
        <w:rPr>
          <w:rFonts w:asciiTheme="majorBidi" w:eastAsiaTheme="minorEastAsia" w:hAnsiTheme="majorBidi" w:cstheme="majorBidi"/>
          <w:sz w:val="24"/>
          <w:szCs w:val="24"/>
        </w:rPr>
      </w:pPr>
      <w:r>
        <w:rPr>
          <w:rFonts w:asciiTheme="majorBidi" w:eastAsiaTheme="minorEastAsia" w:hAnsiTheme="majorBidi" w:cstheme="majorBidi"/>
          <w:sz w:val="24"/>
          <w:szCs w:val="24"/>
          <w:vertAlign w:val="superscript"/>
        </w:rPr>
        <w:t>**</w:t>
      </w:r>
      <w:r>
        <w:rPr>
          <w:rFonts w:asciiTheme="majorBidi" w:eastAsiaTheme="minorEastAsia" w:hAnsiTheme="majorBidi" w:cstheme="majorBidi"/>
          <w:sz w:val="24"/>
          <w:szCs w:val="24"/>
        </w:rPr>
        <w:t xml:space="preserve">Directeur de Thèse : </w:t>
      </w:r>
      <w:r w:rsidR="00D8222B">
        <w:rPr>
          <w:rFonts w:asciiTheme="majorBidi" w:eastAsiaTheme="minorEastAsia" w:hAnsiTheme="majorBidi" w:cstheme="majorBidi"/>
          <w:b/>
          <w:bCs/>
          <w:sz w:val="24"/>
          <w:szCs w:val="24"/>
        </w:rPr>
        <w:t>D</w:t>
      </w:r>
      <w:r w:rsidR="00C00FFE" w:rsidRPr="00C00FFE">
        <w:rPr>
          <w:rFonts w:asciiTheme="majorBidi" w:eastAsiaTheme="minorEastAsia" w:hAnsiTheme="majorBidi" w:cstheme="majorBidi"/>
          <w:b/>
          <w:bCs/>
          <w:sz w:val="24"/>
          <w:szCs w:val="24"/>
        </w:rPr>
        <w:t xml:space="preserve">r </w:t>
      </w:r>
      <w:r w:rsidR="00C00FFE" w:rsidRPr="00C00FFE">
        <w:rPr>
          <w:rFonts w:asciiTheme="majorBidi" w:hAnsiTheme="majorBidi" w:cstheme="majorBidi"/>
          <w:b/>
          <w:bCs/>
        </w:rPr>
        <w:t>N. HAÏNE</w:t>
      </w:r>
      <w:r w:rsidR="00C00FFE">
        <w:rPr>
          <w:rFonts w:asciiTheme="majorBidi" w:hAnsiTheme="majorBidi" w:cstheme="majorBidi"/>
        </w:rPr>
        <w:t>, Ma</w:t>
      </w:r>
      <w:r w:rsidR="008D60EC">
        <w:rPr>
          <w:rFonts w:asciiTheme="majorBidi" w:hAnsiTheme="majorBidi" w:cstheme="majorBidi"/>
        </w:rPr>
        <w:t>î</w:t>
      </w:r>
      <w:r w:rsidR="00C00FFE">
        <w:rPr>
          <w:rFonts w:asciiTheme="majorBidi" w:hAnsiTheme="majorBidi" w:cstheme="majorBidi"/>
        </w:rPr>
        <w:t>tre de conférences</w:t>
      </w:r>
      <w:r w:rsidR="00D8222B">
        <w:rPr>
          <w:rFonts w:asciiTheme="majorBidi" w:hAnsiTheme="majorBidi" w:cstheme="majorBidi"/>
        </w:rPr>
        <w:t xml:space="preserve"> A</w:t>
      </w:r>
      <w:r w:rsidR="00C00FFE">
        <w:rPr>
          <w:rFonts w:asciiTheme="majorBidi" w:hAnsiTheme="majorBidi" w:cstheme="majorBidi"/>
        </w:rPr>
        <w:t xml:space="preserve"> à l’USTHB</w:t>
      </w:r>
      <w:r w:rsidR="008D60EC">
        <w:rPr>
          <w:rFonts w:asciiTheme="majorBidi" w:eastAsiaTheme="minorEastAsia" w:hAnsiTheme="majorBidi" w:cstheme="majorBidi"/>
          <w:sz w:val="24"/>
          <w:szCs w:val="24"/>
        </w:rPr>
        <w:t>.</w:t>
      </w:r>
    </w:p>
    <w:sectPr w:rsidR="002F1FD8" w:rsidRPr="005F321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EC271A"/>
    <w:multiLevelType w:val="hybridMultilevel"/>
    <w:tmpl w:val="F1E8F2C2"/>
    <w:lvl w:ilvl="0" w:tplc="11B24FE8">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4058"/>
    <w:rsid w:val="00021A04"/>
    <w:rsid w:val="000A1751"/>
    <w:rsid w:val="001D07AE"/>
    <w:rsid w:val="001E389F"/>
    <w:rsid w:val="00215BDB"/>
    <w:rsid w:val="00291865"/>
    <w:rsid w:val="002B6A32"/>
    <w:rsid w:val="002C75ED"/>
    <w:rsid w:val="002F1FD8"/>
    <w:rsid w:val="00314E4F"/>
    <w:rsid w:val="004074F2"/>
    <w:rsid w:val="0045559C"/>
    <w:rsid w:val="00585499"/>
    <w:rsid w:val="00585AF0"/>
    <w:rsid w:val="005F321B"/>
    <w:rsid w:val="0062384F"/>
    <w:rsid w:val="00646B52"/>
    <w:rsid w:val="006A3F17"/>
    <w:rsid w:val="00822CDB"/>
    <w:rsid w:val="0082791B"/>
    <w:rsid w:val="00843AD0"/>
    <w:rsid w:val="0086129B"/>
    <w:rsid w:val="00867037"/>
    <w:rsid w:val="008B4420"/>
    <w:rsid w:val="008D60EC"/>
    <w:rsid w:val="008F4058"/>
    <w:rsid w:val="00920190"/>
    <w:rsid w:val="009602D3"/>
    <w:rsid w:val="009D4D20"/>
    <w:rsid w:val="009D5830"/>
    <w:rsid w:val="00A04F95"/>
    <w:rsid w:val="00A30584"/>
    <w:rsid w:val="00AB705B"/>
    <w:rsid w:val="00B43977"/>
    <w:rsid w:val="00B939A0"/>
    <w:rsid w:val="00C00FFE"/>
    <w:rsid w:val="00CE12B7"/>
    <w:rsid w:val="00CE6A66"/>
    <w:rsid w:val="00D321C9"/>
    <w:rsid w:val="00D7523C"/>
    <w:rsid w:val="00D8222B"/>
    <w:rsid w:val="00DB7637"/>
    <w:rsid w:val="00DE39AB"/>
    <w:rsid w:val="00E82BBF"/>
    <w:rsid w:val="00F91B2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646B52"/>
    <w:rPr>
      <w:color w:val="808080"/>
    </w:rPr>
  </w:style>
  <w:style w:type="paragraph" w:styleId="Textedebulles">
    <w:name w:val="Balloon Text"/>
    <w:basedOn w:val="Normal"/>
    <w:link w:val="TextedebullesCar"/>
    <w:uiPriority w:val="99"/>
    <w:semiHidden/>
    <w:unhideWhenUsed/>
    <w:rsid w:val="00646B5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46B52"/>
    <w:rPr>
      <w:rFonts w:ascii="Tahoma" w:hAnsi="Tahoma" w:cs="Tahoma"/>
      <w:sz w:val="16"/>
      <w:szCs w:val="16"/>
    </w:rPr>
  </w:style>
  <w:style w:type="paragraph" w:styleId="Paragraphedeliste">
    <w:name w:val="List Paragraph"/>
    <w:basedOn w:val="Normal"/>
    <w:uiPriority w:val="34"/>
    <w:qFormat/>
    <w:rsid w:val="00A04F95"/>
    <w:pPr>
      <w:ind w:left="720"/>
      <w:contextualSpacing/>
    </w:pPr>
  </w:style>
  <w:style w:type="paragraph" w:styleId="NormalWeb">
    <w:name w:val="Normal (Web)"/>
    <w:basedOn w:val="Normal"/>
    <w:uiPriority w:val="99"/>
    <w:semiHidden/>
    <w:unhideWhenUsed/>
    <w:rsid w:val="002B6A32"/>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646B52"/>
    <w:rPr>
      <w:color w:val="808080"/>
    </w:rPr>
  </w:style>
  <w:style w:type="paragraph" w:styleId="Textedebulles">
    <w:name w:val="Balloon Text"/>
    <w:basedOn w:val="Normal"/>
    <w:link w:val="TextedebullesCar"/>
    <w:uiPriority w:val="99"/>
    <w:semiHidden/>
    <w:unhideWhenUsed/>
    <w:rsid w:val="00646B5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46B52"/>
    <w:rPr>
      <w:rFonts w:ascii="Tahoma" w:hAnsi="Tahoma" w:cs="Tahoma"/>
      <w:sz w:val="16"/>
      <w:szCs w:val="16"/>
    </w:rPr>
  </w:style>
  <w:style w:type="paragraph" w:styleId="Paragraphedeliste">
    <w:name w:val="List Paragraph"/>
    <w:basedOn w:val="Normal"/>
    <w:uiPriority w:val="34"/>
    <w:qFormat/>
    <w:rsid w:val="00A04F95"/>
    <w:pPr>
      <w:ind w:left="720"/>
      <w:contextualSpacing/>
    </w:pPr>
  </w:style>
  <w:style w:type="paragraph" w:styleId="NormalWeb">
    <w:name w:val="Normal (Web)"/>
    <w:basedOn w:val="Normal"/>
    <w:uiPriority w:val="99"/>
    <w:semiHidden/>
    <w:unhideWhenUsed/>
    <w:rsid w:val="002B6A32"/>
    <w:pPr>
      <w:spacing w:before="100" w:beforeAutospacing="1" w:after="100" w:afterAutospacing="1" w:line="240" w:lineRule="auto"/>
    </w:pPr>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514071">
      <w:bodyDiv w:val="1"/>
      <w:marLeft w:val="0"/>
      <w:marRight w:val="0"/>
      <w:marTop w:val="0"/>
      <w:marBottom w:val="0"/>
      <w:divBdr>
        <w:top w:val="none" w:sz="0" w:space="0" w:color="auto"/>
        <w:left w:val="none" w:sz="0" w:space="0" w:color="auto"/>
        <w:bottom w:val="none" w:sz="0" w:space="0" w:color="auto"/>
        <w:right w:val="none" w:sz="0" w:space="0" w:color="auto"/>
      </w:divBdr>
    </w:div>
    <w:div w:id="497039957">
      <w:bodyDiv w:val="1"/>
      <w:marLeft w:val="0"/>
      <w:marRight w:val="0"/>
      <w:marTop w:val="0"/>
      <w:marBottom w:val="0"/>
      <w:divBdr>
        <w:top w:val="none" w:sz="0" w:space="0" w:color="auto"/>
        <w:left w:val="none" w:sz="0" w:space="0" w:color="auto"/>
        <w:bottom w:val="none" w:sz="0" w:space="0" w:color="auto"/>
        <w:right w:val="none" w:sz="0" w:space="0" w:color="auto"/>
      </w:divBdr>
    </w:div>
    <w:div w:id="1026251937">
      <w:bodyDiv w:val="1"/>
      <w:marLeft w:val="0"/>
      <w:marRight w:val="0"/>
      <w:marTop w:val="0"/>
      <w:marBottom w:val="0"/>
      <w:divBdr>
        <w:top w:val="none" w:sz="0" w:space="0" w:color="auto"/>
        <w:left w:val="none" w:sz="0" w:space="0" w:color="auto"/>
        <w:bottom w:val="none" w:sz="0" w:space="0" w:color="auto"/>
        <w:right w:val="none" w:sz="0" w:space="0" w:color="auto"/>
      </w:divBdr>
    </w:div>
    <w:div w:id="1239905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380</TotalTime>
  <Pages>1</Pages>
  <Words>513</Words>
  <Characters>2827</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Bilal</dc:creator>
  <cp:lastModifiedBy>Bilal</cp:lastModifiedBy>
  <cp:revision>22</cp:revision>
  <cp:lastPrinted>2012-05-09T10:01:00Z</cp:lastPrinted>
  <dcterms:created xsi:type="dcterms:W3CDTF">2012-04-24T12:35:00Z</dcterms:created>
  <dcterms:modified xsi:type="dcterms:W3CDTF">2012-05-09T10:25:00Z</dcterms:modified>
</cp:coreProperties>
</file>