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44D1" w:rsidRDefault="00FC44D1" w:rsidP="00FC44D1">
      <w:r>
        <w:t>Notre étude porte sur les Aranéides qui représentent l’ordre le plus important parmi</w:t>
      </w:r>
    </w:p>
    <w:p w:rsidR="00FC44D1" w:rsidRDefault="00FC44D1" w:rsidP="00FC44D1">
      <w:proofErr w:type="gramStart"/>
      <w:r>
        <w:t>les</w:t>
      </w:r>
      <w:proofErr w:type="gramEnd"/>
      <w:r>
        <w:t xml:space="preserve"> Arachnides (Arthropodes). Elles sont connues pour leur rôle de bio-indication.</w:t>
      </w:r>
    </w:p>
    <w:p w:rsidR="00FC44D1" w:rsidRDefault="00FC44D1" w:rsidP="00FC44D1">
      <w:r>
        <w:t>Caractérisées par une richesse importante, elles occupent une place importante dans la chaine</w:t>
      </w:r>
    </w:p>
    <w:p w:rsidR="00FC44D1" w:rsidRDefault="00FC44D1" w:rsidP="00FC44D1">
      <w:proofErr w:type="gramStart"/>
      <w:r>
        <w:t>trophique</w:t>
      </w:r>
      <w:proofErr w:type="gramEnd"/>
      <w:r>
        <w:t>.</w:t>
      </w:r>
    </w:p>
    <w:p w:rsidR="00FC44D1" w:rsidRDefault="00FC44D1" w:rsidP="00FC44D1">
      <w:r>
        <w:t xml:space="preserve">Dans la réserve naturelle de </w:t>
      </w:r>
      <w:proofErr w:type="spellStart"/>
      <w:r>
        <w:t>Réghaia</w:t>
      </w:r>
      <w:proofErr w:type="spellEnd"/>
      <w:r>
        <w:t xml:space="preserve"> qui se caractérise par un climat méditerranéen et</w:t>
      </w:r>
    </w:p>
    <w:p w:rsidR="00FC44D1" w:rsidRDefault="00FC44D1" w:rsidP="00FC44D1">
      <w:proofErr w:type="gramStart"/>
      <w:r>
        <w:t>qui</w:t>
      </w:r>
      <w:proofErr w:type="gramEnd"/>
      <w:r>
        <w:t xml:space="preserve"> appartient à l’étage bioclimatique subhumide à hiver doux, quatre stations ont été</w:t>
      </w:r>
    </w:p>
    <w:p w:rsidR="00FC44D1" w:rsidRDefault="00FC44D1" w:rsidP="00FC44D1">
      <w:proofErr w:type="gramStart"/>
      <w:r>
        <w:t>choisies</w:t>
      </w:r>
      <w:proofErr w:type="gramEnd"/>
      <w:r>
        <w:t xml:space="preserve"> le long de la rive sud-ouest du lac, elles représentent différentes formations végétales.</w:t>
      </w:r>
    </w:p>
    <w:p w:rsidR="00FC44D1" w:rsidRDefault="00FC44D1" w:rsidP="00FC44D1">
      <w:r>
        <w:t>Sur un cycle annuel complet nous avons pu échantillonner 1254 individus dont 1076 adultes</w:t>
      </w:r>
    </w:p>
    <w:p w:rsidR="00FC44D1" w:rsidRDefault="00FC44D1" w:rsidP="00FC44D1">
      <w:proofErr w:type="gramStart"/>
      <w:r>
        <w:t>et</w:t>
      </w:r>
      <w:proofErr w:type="gramEnd"/>
      <w:r>
        <w:t xml:space="preserve"> 178 juvéniles répartis en 18 familles, 47 genres et 71 espèces.</w:t>
      </w:r>
    </w:p>
    <w:p w:rsidR="00FC44D1" w:rsidRDefault="00FC44D1" w:rsidP="00FC44D1">
      <w:r>
        <w:t xml:space="preserve">Les </w:t>
      </w:r>
      <w:proofErr w:type="spellStart"/>
      <w:r>
        <w:t>Linyphiidae</w:t>
      </w:r>
      <w:proofErr w:type="spellEnd"/>
      <w:r>
        <w:t xml:space="preserve"> sont les plus riches en espèces avec un nombre de 16 suivies des</w:t>
      </w:r>
    </w:p>
    <w:p w:rsidR="00FC44D1" w:rsidRDefault="00FC44D1" w:rsidP="00FC44D1">
      <w:proofErr w:type="spellStart"/>
      <w:r>
        <w:t>Gnaphosidae</w:t>
      </w:r>
      <w:proofErr w:type="spellEnd"/>
      <w:r>
        <w:t xml:space="preserve"> avec 13 espèces.</w:t>
      </w:r>
    </w:p>
    <w:p w:rsidR="00FC44D1" w:rsidRDefault="00FC44D1" w:rsidP="00FC44D1">
      <w:r>
        <w:t xml:space="preserve">Les espèces les plus abondantes sont </w:t>
      </w:r>
      <w:proofErr w:type="spellStart"/>
      <w:r>
        <w:t>Lepthyphantes</w:t>
      </w:r>
      <w:proofErr w:type="spellEnd"/>
      <w:r>
        <w:t xml:space="preserve"> </w:t>
      </w:r>
      <w:proofErr w:type="spellStart"/>
      <w:r>
        <w:t>tenuis</w:t>
      </w:r>
      <w:proofErr w:type="spellEnd"/>
      <w:r>
        <w:t xml:space="preserve"> (</w:t>
      </w:r>
      <w:proofErr w:type="spellStart"/>
      <w:r>
        <w:t>Linyphiidae</w:t>
      </w:r>
      <w:proofErr w:type="spellEnd"/>
      <w:r>
        <w:t xml:space="preserve">) et </w:t>
      </w:r>
      <w:proofErr w:type="spellStart"/>
      <w:r>
        <w:t>Oxyptila</w:t>
      </w:r>
      <w:proofErr w:type="spellEnd"/>
      <w:r>
        <w:t xml:space="preserve"> </w:t>
      </w:r>
      <w:proofErr w:type="spellStart"/>
      <w:r>
        <w:t>nigella</w:t>
      </w:r>
      <w:proofErr w:type="spellEnd"/>
    </w:p>
    <w:p w:rsidR="00FC44D1" w:rsidRDefault="00FC44D1" w:rsidP="00FC44D1">
      <w:r>
        <w:t>(</w:t>
      </w:r>
      <w:proofErr w:type="spellStart"/>
      <w:r>
        <w:t>Thomisidae</w:t>
      </w:r>
      <w:proofErr w:type="spellEnd"/>
      <w:r>
        <w:t>).</w:t>
      </w:r>
    </w:p>
    <w:p w:rsidR="00FC44D1" w:rsidRDefault="00FC44D1" w:rsidP="00FC44D1">
      <w:r>
        <w:t>L’indice de diversité de Shannon-Weaver montre que les milieux fermés sont plus</w:t>
      </w:r>
    </w:p>
    <w:p w:rsidR="00FC44D1" w:rsidRDefault="00FC44D1" w:rsidP="00FC44D1">
      <w:proofErr w:type="gramStart"/>
      <w:r>
        <w:t>diversifiés</w:t>
      </w:r>
      <w:proofErr w:type="gramEnd"/>
      <w:r>
        <w:t xml:space="preserve"> que les milieux ouverts. Les peuplements présentent une répartition plus ou moins</w:t>
      </w:r>
    </w:p>
    <w:p w:rsidR="00FC44D1" w:rsidRDefault="00FC44D1" w:rsidP="00FC44D1">
      <w:proofErr w:type="gramStart"/>
      <w:r>
        <w:t>égale</w:t>
      </w:r>
      <w:proofErr w:type="gramEnd"/>
      <w:r>
        <w:t xml:space="preserve"> au niveau des différentes stations d’étude. La plus grande similarité est signalée entre la</w:t>
      </w:r>
    </w:p>
    <w:p w:rsidR="00FC44D1" w:rsidRDefault="00FC44D1" w:rsidP="00FC44D1">
      <w:proofErr w:type="gramStart"/>
      <w:r>
        <w:t>station</w:t>
      </w:r>
      <w:proofErr w:type="gramEnd"/>
      <w:r>
        <w:t xml:space="preserve"> 1 et la station 4, elle est de 58%.</w:t>
      </w:r>
    </w:p>
    <w:p w:rsidR="00FC44D1" w:rsidRDefault="00FC44D1" w:rsidP="00FC44D1">
      <w:r>
        <w:t xml:space="preserve">Les peuplements diffèrent d’une physionomie végétale à une autre, les </w:t>
      </w:r>
      <w:proofErr w:type="spellStart"/>
      <w:r>
        <w:t>Linyphiidae</w:t>
      </w:r>
      <w:proofErr w:type="spellEnd"/>
      <w:r>
        <w:t xml:space="preserve"> et les</w:t>
      </w:r>
    </w:p>
    <w:p w:rsidR="00FC44D1" w:rsidRDefault="00FC44D1" w:rsidP="00FC44D1">
      <w:proofErr w:type="spellStart"/>
      <w:r>
        <w:t>Dysderidae</w:t>
      </w:r>
      <w:proofErr w:type="spellEnd"/>
      <w:r>
        <w:t xml:space="preserve"> montrent des préférences pour les milieux fermés, alors que les </w:t>
      </w:r>
      <w:proofErr w:type="spellStart"/>
      <w:r>
        <w:t>Lycosidae</w:t>
      </w:r>
      <w:proofErr w:type="spellEnd"/>
      <w:r>
        <w:t xml:space="preserve"> et les</w:t>
      </w:r>
    </w:p>
    <w:p w:rsidR="00FC44D1" w:rsidRDefault="00FC44D1" w:rsidP="00FC44D1">
      <w:proofErr w:type="spellStart"/>
      <w:r>
        <w:t>Thomisidae</w:t>
      </w:r>
      <w:proofErr w:type="spellEnd"/>
      <w:r>
        <w:t xml:space="preserve"> caractérisent les milieux ouverts.</w:t>
      </w:r>
    </w:p>
    <w:p w:rsidR="00FC44D1" w:rsidRDefault="00FC44D1" w:rsidP="00FC44D1">
      <w:r>
        <w:t>Nous avons pu montrer par l’étude de l’Analyse Factorielle de Correspondances que</w:t>
      </w:r>
    </w:p>
    <w:p w:rsidR="00FC44D1" w:rsidRDefault="00FC44D1" w:rsidP="00FC44D1">
      <w:proofErr w:type="gramStart"/>
      <w:r>
        <w:t>les</w:t>
      </w:r>
      <w:proofErr w:type="gramEnd"/>
      <w:r>
        <w:t xml:space="preserve"> sites s’ordonnent selon deux gradients qui sont l’humidité du sol et le recouvrement</w:t>
      </w:r>
    </w:p>
    <w:p w:rsidR="00FC44D1" w:rsidRDefault="00FC44D1" w:rsidP="00FC44D1">
      <w:proofErr w:type="gramStart"/>
      <w:r>
        <w:t>végétal</w:t>
      </w:r>
      <w:proofErr w:type="gramEnd"/>
      <w:r>
        <w:t xml:space="preserve"> de la station. Cette double ordination conduit à une parfaite ségrégation des</w:t>
      </w:r>
    </w:p>
    <w:p w:rsidR="00FC44D1" w:rsidRDefault="00FC44D1" w:rsidP="00FC44D1">
      <w:proofErr w:type="gramStart"/>
      <w:r>
        <w:t>groupements</w:t>
      </w:r>
      <w:proofErr w:type="gramEnd"/>
      <w:r>
        <w:t xml:space="preserve"> d’espèces d’après le type de biotope qu’ils colonisent.</w:t>
      </w:r>
    </w:p>
    <w:p w:rsidR="00FC44D1" w:rsidRDefault="00FC44D1" w:rsidP="00FC44D1">
      <w:r>
        <w:lastRenderedPageBreak/>
        <w:t>Ceci prouve, pour des milieux similaires tout au moins, qu’il existe une forte corrélation entre</w:t>
      </w:r>
    </w:p>
    <w:p w:rsidR="00FC44D1" w:rsidRDefault="00FC44D1" w:rsidP="00FC44D1">
      <w:proofErr w:type="gramStart"/>
      <w:r>
        <w:t>certaines</w:t>
      </w:r>
      <w:proofErr w:type="gramEnd"/>
      <w:r>
        <w:t xml:space="preserve"> composantes du peuplement d’araignées et les groupements végétaux. Il est alors</w:t>
      </w:r>
    </w:p>
    <w:p w:rsidR="00FC44D1" w:rsidRDefault="00FC44D1" w:rsidP="00FC44D1">
      <w:proofErr w:type="gramStart"/>
      <w:r>
        <w:t>possible</w:t>
      </w:r>
      <w:proofErr w:type="gramEnd"/>
      <w:r>
        <w:t xml:space="preserve"> de caractériser chaque biotope par un groupement d’araignées en association avec le</w:t>
      </w:r>
    </w:p>
    <w:p w:rsidR="00FC44D1" w:rsidRDefault="00FC44D1" w:rsidP="00FC44D1">
      <w:proofErr w:type="gramStart"/>
      <w:r>
        <w:t>groupement</w:t>
      </w:r>
      <w:proofErr w:type="gramEnd"/>
      <w:r>
        <w:t xml:space="preserve"> végétal concerné.</w:t>
      </w:r>
    </w:p>
    <w:p w:rsidR="00FC44D1" w:rsidRDefault="00FC44D1" w:rsidP="00FC44D1">
      <w:r>
        <w:t>Nous avons constaté que ce sont les espèces abondantes et communes surtout celles ayant une</w:t>
      </w:r>
    </w:p>
    <w:p w:rsidR="002109AB" w:rsidRDefault="00FC44D1" w:rsidP="00FC44D1">
      <w:proofErr w:type="gramStart"/>
      <w:r>
        <w:t>activité</w:t>
      </w:r>
      <w:proofErr w:type="gramEnd"/>
      <w:r>
        <w:t xml:space="preserve"> importante, qui sont les mieux corrélées au gradient mis en évidence.</w:t>
      </w:r>
    </w:p>
    <w:sectPr w:rsidR="002109AB" w:rsidSect="002109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C44D1"/>
    <w:rsid w:val="002109AB"/>
    <w:rsid w:val="00FC44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09A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348</Words>
  <Characters>1919</Characters>
  <Application>Microsoft Office Word</Application>
  <DocSecurity>0</DocSecurity>
  <Lines>15</Lines>
  <Paragraphs>4</Paragraphs>
  <ScaleCrop>false</ScaleCrop>
  <Company/>
  <LinksUpToDate>false</LinksUpToDate>
  <CharactersWithSpaces>2263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2015-03-23T12:44:00Z</dcterms:created>
  <dcterms:modified xsi:type="dcterms:W3CDTF">2015-03-23T12:45:00Z</dcterms:modified>
</cp:coreProperties>
</file>