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6292" w:rsidRDefault="00626292" w:rsidP="00626292">
      <w:r>
        <w:t xml:space="preserve">Des calculs systématiques utilisant les fonctionnelles de la DFT et la méthode de </w:t>
      </w:r>
      <w:proofErr w:type="spellStart"/>
      <w:r>
        <w:t>Mller</w:t>
      </w:r>
      <w:proofErr w:type="spellEnd"/>
      <w:r>
        <w:t xml:space="preserve"> </w:t>
      </w:r>
      <w:proofErr w:type="spellStart"/>
      <w:r>
        <w:t>Plesset</w:t>
      </w:r>
      <w:proofErr w:type="spellEnd"/>
      <w:r>
        <w:t xml:space="preserve"> à l'ordre deux ( MP2 ) ont été effectués dans ce travail, en vue de l'étude des complexes d'adsorption résultant d'interactions entre le cycle pyrrolique et les séries de molécules </w:t>
      </w:r>
      <w:proofErr w:type="spellStart"/>
      <w:r>
        <w:t>isoélectroniques</w:t>
      </w:r>
      <w:proofErr w:type="spellEnd"/>
      <w:r>
        <w:t xml:space="preserve">: CO, N2, HCN, HNC, NO+ et H2O, NH3, CH4, H3O+.le modèle de la </w:t>
      </w:r>
      <w:proofErr w:type="spellStart"/>
      <w:r>
        <w:t>supermolécule</w:t>
      </w:r>
      <w:proofErr w:type="spellEnd"/>
      <w:r>
        <w:t xml:space="preserve"> a été adopté pour cela. L'erreur de superposition de base (BSSE) et la correction de l'énergie du point zéro (ZPVE) ont été pris en compte dans l'évaluation des énergies d'interaction entre les différents fragments en présence. Plusieurs possibilités d'approche des substrats ont été considérées dans chaque cas, dans le but de déterminer celle conduisant à une énergie de liaison la plus forte dans le complexe stable formé. L'analyse du type de liaison résultant des adsorptions a été faite et l'influence de la déformation des fragments dans les complexes sur la BSSE discutée. Nos résultats indiquent que :</w:t>
      </w:r>
    </w:p>
    <w:p w:rsidR="00626292" w:rsidRDefault="00626292" w:rsidP="00626292">
      <w:r>
        <w:t>-plusieurs complexes d'adsorption peuvent être obtenus pour un même jeu de substrats.</w:t>
      </w:r>
    </w:p>
    <w:p w:rsidR="00626292" w:rsidRDefault="00626292" w:rsidP="00626292">
      <w:r>
        <w:t>-L'atome d'azote du pyrrole influence considérablement l'orientation, l'un par rapport l'autre, des substrats pour former un complexe d'adsorption stable.</w:t>
      </w:r>
    </w:p>
    <w:p w:rsidR="00626292" w:rsidRDefault="00626292" w:rsidP="00626292">
      <w:r>
        <w:t>-Les molécules d'hydrures A…H semblent s'adsorber plus facilement que les autres sur le cycle pyrrolique considéré comme support.</w:t>
      </w:r>
    </w:p>
    <w:p w:rsidR="00626292" w:rsidRDefault="00626292" w:rsidP="00626292">
      <w:r>
        <w:t>-La prise en compte de la déformation est nécessaire pour l'évaluation de la BSSE.</w:t>
      </w:r>
    </w:p>
    <w:p w:rsidR="00626292" w:rsidRDefault="00626292" w:rsidP="00626292">
      <w:r>
        <w:t>-Si l'adsorption d'espèces chargées telle H3O+ et NO+ est facile du fait de l'interaction dipôle-dipôle, il n'en est pas de même de celle d'espèces neutres pour lesquelles les énergies de liaison dans les complexes formés sont beaucoup plus faibles.</w:t>
      </w:r>
    </w:p>
    <w:p w:rsidR="00E84A3B" w:rsidRDefault="00626292" w:rsidP="00626292">
      <w:r>
        <w:t xml:space="preserve">-Au sein d'une même série de molécules </w:t>
      </w:r>
      <w:proofErr w:type="spellStart"/>
      <w:r>
        <w:t>isoélectroniques</w:t>
      </w:r>
      <w:proofErr w:type="spellEnd"/>
      <w:r>
        <w:t>, les énergies de liaison dans les complexes semblent être corrélées à l'électronégativité de l'atome centrale de la molécule adsorbée.</w:t>
      </w:r>
    </w:p>
    <w:sectPr w:rsidR="00E84A3B" w:rsidSect="00E84A3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626292"/>
    <w:rsid w:val="00626292"/>
    <w:rsid w:val="00E84A3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4A3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288</Words>
  <Characters>1588</Characters>
  <Application>Microsoft Office Word</Application>
  <DocSecurity>0</DocSecurity>
  <Lines>13</Lines>
  <Paragraphs>3</Paragraphs>
  <ScaleCrop>false</ScaleCrop>
  <Company/>
  <LinksUpToDate>false</LinksUpToDate>
  <CharactersWithSpaces>1873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cp:revision>
  <dcterms:created xsi:type="dcterms:W3CDTF">2014-11-13T14:02:00Z</dcterms:created>
  <dcterms:modified xsi:type="dcterms:W3CDTF">2014-11-13T14:02:00Z</dcterms:modified>
</cp:coreProperties>
</file>