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766A83" w:rsidRPr="006D78EF" w:rsidRDefault="00766A83" w:rsidP="00766A83">
      <w:pPr>
        <w:jc w:val="center"/>
        <w:rPr>
          <w:rFonts w:asciiTheme="majorBidi" w:hAnsiTheme="majorBidi" w:cstheme="majorBidi"/>
          <w:b/>
          <w:bCs/>
        </w:rPr>
      </w:pPr>
      <w:r w:rsidRPr="006D78EF">
        <w:rPr>
          <w:rFonts w:asciiTheme="majorBidi" w:hAnsiTheme="majorBidi" w:cstheme="majorBidi"/>
          <w:b/>
          <w:bCs/>
        </w:rPr>
        <w:t>Résumé</w:t>
      </w:r>
    </w:p>
    <w:p w:rsidR="00766A83" w:rsidRPr="006D78EF" w:rsidRDefault="00766A83" w:rsidP="00766A83">
      <w:pPr>
        <w:spacing w:line="360" w:lineRule="auto"/>
        <w:ind w:firstLine="708"/>
        <w:jc w:val="both"/>
        <w:rPr>
          <w:rFonts w:asciiTheme="majorBidi" w:hAnsiTheme="majorBidi" w:cstheme="majorBidi"/>
        </w:rPr>
      </w:pPr>
      <w:r w:rsidRPr="006D78EF">
        <w:rPr>
          <w:rFonts w:asciiTheme="majorBidi" w:hAnsiTheme="majorBidi" w:cstheme="majorBidi"/>
        </w:rPr>
        <w:t xml:space="preserve">L'objectif principal de ce travail, vise à une meilleure connaissance de la </w:t>
      </w:r>
      <w:proofErr w:type="spellStart"/>
      <w:r w:rsidRPr="006D78EF">
        <w:rPr>
          <w:rFonts w:asciiTheme="majorBidi" w:hAnsiTheme="majorBidi" w:cstheme="majorBidi"/>
        </w:rPr>
        <w:t>synécolgie</w:t>
      </w:r>
      <w:proofErr w:type="spellEnd"/>
      <w:r w:rsidRPr="006D78EF">
        <w:rPr>
          <w:rFonts w:asciiTheme="majorBidi" w:hAnsiTheme="majorBidi" w:cstheme="majorBidi"/>
        </w:rPr>
        <w:t xml:space="preserve"> des halophytes et la prise en compte de la dynamique spatio-temporelle </w:t>
      </w:r>
      <w:proofErr w:type="spellStart"/>
      <w:r w:rsidRPr="006D78EF">
        <w:rPr>
          <w:rFonts w:asciiTheme="majorBidi" w:hAnsiTheme="majorBidi" w:cstheme="majorBidi"/>
        </w:rPr>
        <w:t>des</w:t>
      </w:r>
      <w:proofErr w:type="spellEnd"/>
      <w:r w:rsidRPr="006D78EF">
        <w:rPr>
          <w:rFonts w:asciiTheme="majorBidi" w:hAnsiTheme="majorBidi" w:cstheme="majorBidi"/>
        </w:rPr>
        <w:t xml:space="preserve"> ces groupements sur une période de 50 ans. Les résultats obtenus à travers l'étude floristique montrent que la zone humide de la Macta est  peuplée par une végétation hétérogène de type maritime, de sebkhas et de steppe salée</w:t>
      </w:r>
      <w:r w:rsidRPr="006D78EF">
        <w:t xml:space="preserve"> </w:t>
      </w:r>
      <w:r w:rsidRPr="006D78EF">
        <w:rPr>
          <w:rFonts w:asciiTheme="majorBidi" w:hAnsiTheme="majorBidi" w:cstheme="majorBidi"/>
        </w:rPr>
        <w:t xml:space="preserve">succulente. Du point de vue systématique, ce sont les </w:t>
      </w:r>
      <w:proofErr w:type="spellStart"/>
      <w:r w:rsidRPr="006D78EF">
        <w:rPr>
          <w:rFonts w:asciiTheme="majorBidi" w:hAnsiTheme="majorBidi" w:cstheme="majorBidi"/>
        </w:rPr>
        <w:t>synanthéracées</w:t>
      </w:r>
      <w:proofErr w:type="spellEnd"/>
      <w:r w:rsidRPr="006D78EF">
        <w:rPr>
          <w:rFonts w:asciiTheme="majorBidi" w:hAnsiTheme="majorBidi" w:cstheme="majorBidi"/>
        </w:rPr>
        <w:t xml:space="preserve"> et les </w:t>
      </w:r>
      <w:proofErr w:type="spellStart"/>
      <w:r w:rsidRPr="006D78EF">
        <w:rPr>
          <w:rFonts w:asciiTheme="majorBidi" w:hAnsiTheme="majorBidi" w:cstheme="majorBidi"/>
        </w:rPr>
        <w:t>poacées</w:t>
      </w:r>
      <w:proofErr w:type="spellEnd"/>
      <w:r w:rsidRPr="006D78EF">
        <w:rPr>
          <w:rFonts w:asciiTheme="majorBidi" w:hAnsiTheme="majorBidi" w:cstheme="majorBidi"/>
        </w:rPr>
        <w:t xml:space="preserve"> qui dominent la flore, avec un taux de 14% pour la première famille, et 12% pour la deuxième.</w:t>
      </w:r>
    </w:p>
    <w:p w:rsidR="00766A83" w:rsidRPr="006D78EF" w:rsidRDefault="00766A83" w:rsidP="00766A83">
      <w:pPr>
        <w:spacing w:line="360" w:lineRule="auto"/>
        <w:ind w:firstLine="708"/>
        <w:jc w:val="both"/>
        <w:rPr>
          <w:rFonts w:asciiTheme="majorBidi" w:hAnsiTheme="majorBidi" w:cstheme="majorBidi"/>
        </w:rPr>
      </w:pPr>
      <w:r w:rsidRPr="006D78EF">
        <w:rPr>
          <w:rFonts w:asciiTheme="majorBidi" w:hAnsiTheme="majorBidi" w:cstheme="majorBidi"/>
        </w:rPr>
        <w:t xml:space="preserve">Sur le plan </w:t>
      </w:r>
      <w:proofErr w:type="spellStart"/>
      <w:r w:rsidRPr="006D78EF">
        <w:rPr>
          <w:rFonts w:asciiTheme="majorBidi" w:hAnsiTheme="majorBidi" w:cstheme="majorBidi"/>
        </w:rPr>
        <w:t>synécologique</w:t>
      </w:r>
      <w:proofErr w:type="spellEnd"/>
      <w:r w:rsidRPr="006D78EF">
        <w:rPr>
          <w:rFonts w:asciiTheme="majorBidi" w:hAnsiTheme="majorBidi" w:cstheme="majorBidi"/>
        </w:rPr>
        <w:t xml:space="preserve">, et à travers une synthèse proprement dite des paramètres quantitatifs (indices d'hétérogénéité, les fréquences et les abondances) et qualitatifs (la courbe aire-espèces, la courbes rang-fréquence/rang-abondance, indice de </w:t>
      </w:r>
      <w:proofErr w:type="spellStart"/>
      <w:r w:rsidRPr="006D78EF">
        <w:rPr>
          <w:rFonts w:asciiTheme="majorBidi" w:hAnsiTheme="majorBidi" w:cstheme="majorBidi"/>
        </w:rPr>
        <w:t>whittaker</w:t>
      </w:r>
      <w:proofErr w:type="spellEnd"/>
      <w:r w:rsidRPr="006D78EF">
        <w:rPr>
          <w:rFonts w:asciiTheme="majorBidi" w:hAnsiTheme="majorBidi" w:cstheme="majorBidi"/>
        </w:rPr>
        <w:t xml:space="preserve">), les résultats révèles que </w:t>
      </w:r>
      <w:proofErr w:type="spellStart"/>
      <w:r w:rsidRPr="006D78EF">
        <w:rPr>
          <w:rFonts w:asciiTheme="majorBidi" w:hAnsiTheme="majorBidi" w:cstheme="majorBidi"/>
          <w:i/>
          <w:iCs/>
        </w:rPr>
        <w:t>Suaeda</w:t>
      </w:r>
      <w:proofErr w:type="spellEnd"/>
      <w:r w:rsidRPr="006D78EF">
        <w:rPr>
          <w:rFonts w:asciiTheme="majorBidi" w:hAnsiTheme="majorBidi" w:cstheme="majorBidi"/>
          <w:i/>
          <w:iCs/>
        </w:rPr>
        <w:t xml:space="preserve"> </w:t>
      </w:r>
      <w:proofErr w:type="spellStart"/>
      <w:r w:rsidRPr="006D78EF">
        <w:rPr>
          <w:rFonts w:asciiTheme="majorBidi" w:hAnsiTheme="majorBidi" w:cstheme="majorBidi"/>
          <w:i/>
          <w:iCs/>
        </w:rPr>
        <w:t>vera</w:t>
      </w:r>
      <w:proofErr w:type="spellEnd"/>
      <w:r w:rsidRPr="006D78EF">
        <w:rPr>
          <w:rFonts w:asciiTheme="majorBidi" w:hAnsiTheme="majorBidi" w:cstheme="majorBidi"/>
          <w:i/>
          <w:iCs/>
        </w:rPr>
        <w:t xml:space="preserve"> </w:t>
      </w:r>
      <w:r w:rsidRPr="006D78EF">
        <w:rPr>
          <w:rFonts w:asciiTheme="majorBidi" w:hAnsiTheme="majorBidi" w:cstheme="majorBidi"/>
        </w:rPr>
        <w:t>est le maillon fort de la composition floristique de la zone humide de la Macta.</w:t>
      </w:r>
    </w:p>
    <w:p w:rsidR="00766A83" w:rsidRPr="006D78EF" w:rsidRDefault="00766A83" w:rsidP="00766A83">
      <w:pPr>
        <w:spacing w:line="360" w:lineRule="auto"/>
        <w:ind w:firstLine="708"/>
        <w:jc w:val="both"/>
        <w:rPr>
          <w:rFonts w:asciiTheme="majorBidi" w:hAnsiTheme="majorBidi" w:cstheme="majorBidi"/>
        </w:rPr>
      </w:pPr>
      <w:r w:rsidRPr="006D78EF">
        <w:rPr>
          <w:rFonts w:asciiTheme="majorBidi" w:hAnsiTheme="majorBidi" w:cstheme="majorBidi"/>
        </w:rPr>
        <w:t xml:space="preserve">Les résultats des analyses pédologiques ont permis de mettre l'accent sur les différentes combinaisons entre les paramètres physico-chimiques par rapport aux groupements végétaux. Les sels et l'humidité sont les deux principaux facteurs qui jouent un rôle primordial dans la diversité du tapis végétal.  </w:t>
      </w:r>
    </w:p>
    <w:p w:rsidR="00766A83" w:rsidRPr="006D78EF" w:rsidRDefault="00766A83" w:rsidP="00766A83">
      <w:pPr>
        <w:spacing w:line="360" w:lineRule="auto"/>
        <w:ind w:firstLine="708"/>
        <w:jc w:val="both"/>
        <w:rPr>
          <w:rFonts w:asciiTheme="majorBidi" w:hAnsiTheme="majorBidi" w:cstheme="majorBidi"/>
        </w:rPr>
      </w:pPr>
      <w:r w:rsidRPr="006D78EF">
        <w:rPr>
          <w:rFonts w:asciiTheme="majorBidi" w:hAnsiTheme="majorBidi" w:cstheme="majorBidi"/>
        </w:rPr>
        <w:t xml:space="preserve">Les résultats de l'analyse canonique ont montré le rôle des paramètres physiographiques (profondeur de la nappe phréatique, distance par rapport la mer, degré de submersion et la pente) sur la zonation de la végétation dans la zone humide de la Macta.        </w:t>
      </w:r>
    </w:p>
    <w:p w:rsidR="00766A83" w:rsidRPr="006D78EF" w:rsidRDefault="00766A83" w:rsidP="00766A83">
      <w:pPr>
        <w:spacing w:line="360" w:lineRule="auto"/>
        <w:ind w:firstLine="708"/>
        <w:jc w:val="both"/>
        <w:rPr>
          <w:rFonts w:asciiTheme="majorBidi" w:hAnsiTheme="majorBidi" w:cstheme="majorBidi"/>
        </w:rPr>
      </w:pPr>
      <w:r w:rsidRPr="006D78EF">
        <w:rPr>
          <w:rFonts w:asciiTheme="majorBidi" w:hAnsiTheme="majorBidi" w:cstheme="majorBidi"/>
        </w:rPr>
        <w:t xml:space="preserve">Sur le plan dynamique, et à travers un système d'information géographique (SIG), dans lequel deux périodes bien déterminées 1953 et 2013 ont été retenues, nous ont permis de fouiller les éléments de la variabilité spatiale et temporelle de la végétation et l'expansion des </w:t>
      </w:r>
      <w:proofErr w:type="spellStart"/>
      <w:r w:rsidRPr="006D78EF">
        <w:rPr>
          <w:rFonts w:asciiTheme="majorBidi" w:hAnsiTheme="majorBidi" w:cstheme="majorBidi"/>
        </w:rPr>
        <w:t>mico</w:t>
      </w:r>
      <w:proofErr w:type="spellEnd"/>
      <w:r w:rsidRPr="006D78EF">
        <w:rPr>
          <w:rFonts w:asciiTheme="majorBidi" w:hAnsiTheme="majorBidi" w:cstheme="majorBidi"/>
        </w:rPr>
        <w:t xml:space="preserve">-zones hétérogènes à base d'halophytes, la disparition des grands faciès et la régression de la superficie des marais. Dans ce contexte, des cartes d'occupations de sol ont été réalisées. La première carte faite à partir de la carte de végétation de </w:t>
      </w:r>
      <w:proofErr w:type="spellStart"/>
      <w:r w:rsidRPr="006D78EF">
        <w:rPr>
          <w:rFonts w:asciiTheme="majorBidi" w:hAnsiTheme="majorBidi" w:cstheme="majorBidi"/>
        </w:rPr>
        <w:t>Simonneau</w:t>
      </w:r>
      <w:proofErr w:type="spellEnd"/>
      <w:r w:rsidRPr="006D78EF">
        <w:rPr>
          <w:rFonts w:asciiTheme="majorBidi" w:hAnsiTheme="majorBidi" w:cstheme="majorBidi"/>
        </w:rPr>
        <w:t xml:space="preserve"> (1958), la deuxième est faite sur la base d'image satellite (</w:t>
      </w:r>
      <w:proofErr w:type="spellStart"/>
      <w:r w:rsidRPr="006D78EF">
        <w:rPr>
          <w:rFonts w:asciiTheme="majorBidi" w:hAnsiTheme="majorBidi" w:cstheme="majorBidi"/>
        </w:rPr>
        <w:t>Landsat</w:t>
      </w:r>
      <w:proofErr w:type="spellEnd"/>
      <w:r w:rsidRPr="006D78EF">
        <w:rPr>
          <w:rFonts w:asciiTheme="majorBidi" w:hAnsiTheme="majorBidi" w:cstheme="majorBidi"/>
        </w:rPr>
        <w:t xml:space="preserve"> 7TM) de l'année 2013.  </w:t>
      </w:r>
    </w:p>
    <w:p w:rsidR="00766A83" w:rsidRPr="006D78EF" w:rsidRDefault="00766A83" w:rsidP="00766A83">
      <w:pPr>
        <w:spacing w:line="360" w:lineRule="auto"/>
        <w:ind w:firstLine="708"/>
        <w:jc w:val="both"/>
        <w:rPr>
          <w:rFonts w:asciiTheme="majorBidi" w:hAnsiTheme="majorBidi" w:cstheme="majorBidi"/>
        </w:rPr>
      </w:pPr>
      <w:r w:rsidRPr="006D78EF">
        <w:rPr>
          <w:rFonts w:asciiTheme="majorBidi" w:hAnsiTheme="majorBidi" w:cstheme="majorBidi"/>
        </w:rPr>
        <w:t xml:space="preserve">Les analyses des données cartographiques, synthétisées à travers cette recherche, ont identifiés les manifestations et les réactions de cet écosystème, qui a subi vraiment une dégradation et une perturbation causée essentiellement par l'activité anthropozoïque. </w:t>
      </w:r>
    </w:p>
    <w:p w:rsidR="00766A83" w:rsidRPr="006D78EF" w:rsidRDefault="00766A83" w:rsidP="00766A83">
      <w:pPr>
        <w:spacing w:line="360" w:lineRule="auto"/>
        <w:ind w:firstLine="708"/>
        <w:jc w:val="both"/>
        <w:rPr>
          <w:rFonts w:asciiTheme="majorBidi" w:hAnsiTheme="majorBidi" w:cstheme="majorBidi"/>
        </w:rPr>
      </w:pPr>
      <w:r w:rsidRPr="006D78EF">
        <w:rPr>
          <w:rFonts w:asciiTheme="majorBidi" w:hAnsiTheme="majorBidi" w:cstheme="majorBidi"/>
        </w:rPr>
        <w:t>Les analyses des indices de biodiversité ont révélés la forte dégradation des espèces hydrophiles (</w:t>
      </w:r>
      <w:r w:rsidRPr="006D78EF">
        <w:rPr>
          <w:rFonts w:asciiTheme="majorBidi" w:hAnsiTheme="majorBidi" w:cstheme="majorBidi"/>
          <w:i/>
          <w:iCs/>
        </w:rPr>
        <w:t xml:space="preserve">Typha </w:t>
      </w:r>
      <w:proofErr w:type="spellStart"/>
      <w:r w:rsidRPr="006D78EF">
        <w:rPr>
          <w:rFonts w:asciiTheme="majorBidi" w:hAnsiTheme="majorBidi" w:cstheme="majorBidi"/>
          <w:i/>
          <w:iCs/>
        </w:rPr>
        <w:t>angustifolia</w:t>
      </w:r>
      <w:proofErr w:type="spellEnd"/>
      <w:r w:rsidRPr="006D78EF">
        <w:rPr>
          <w:rFonts w:asciiTheme="majorBidi" w:hAnsiTheme="majorBidi" w:cstheme="majorBidi"/>
        </w:rPr>
        <w:t xml:space="preserve">, </w:t>
      </w:r>
      <w:proofErr w:type="spellStart"/>
      <w:r w:rsidRPr="006D78EF">
        <w:rPr>
          <w:rFonts w:asciiTheme="majorBidi" w:hAnsiTheme="majorBidi" w:cstheme="majorBidi"/>
          <w:i/>
          <w:iCs/>
        </w:rPr>
        <w:t>Ranunculus</w:t>
      </w:r>
      <w:proofErr w:type="spellEnd"/>
      <w:r w:rsidRPr="006D78EF">
        <w:rPr>
          <w:rFonts w:asciiTheme="majorBidi" w:hAnsiTheme="majorBidi" w:cstheme="majorBidi"/>
          <w:i/>
          <w:iCs/>
        </w:rPr>
        <w:t xml:space="preserve"> </w:t>
      </w:r>
      <w:proofErr w:type="spellStart"/>
      <w:r w:rsidRPr="006D78EF">
        <w:rPr>
          <w:rFonts w:asciiTheme="majorBidi" w:hAnsiTheme="majorBidi" w:cstheme="majorBidi"/>
          <w:i/>
          <w:iCs/>
        </w:rPr>
        <w:t>aquatilis</w:t>
      </w:r>
      <w:proofErr w:type="spellEnd"/>
      <w:r w:rsidRPr="006D78EF">
        <w:rPr>
          <w:rFonts w:asciiTheme="majorBidi" w:hAnsiTheme="majorBidi" w:cstheme="majorBidi"/>
        </w:rPr>
        <w:t>), ainsi que la disparition d'autres espèces (</w:t>
      </w:r>
      <w:proofErr w:type="spellStart"/>
      <w:r w:rsidRPr="006D78EF">
        <w:rPr>
          <w:rFonts w:asciiTheme="majorBidi" w:hAnsiTheme="majorBidi" w:cstheme="majorBidi"/>
          <w:i/>
          <w:iCs/>
        </w:rPr>
        <w:t>Medicago</w:t>
      </w:r>
      <w:proofErr w:type="spellEnd"/>
      <w:r w:rsidRPr="006D78EF">
        <w:rPr>
          <w:rFonts w:asciiTheme="majorBidi" w:hAnsiTheme="majorBidi" w:cstheme="majorBidi"/>
          <w:i/>
          <w:iCs/>
        </w:rPr>
        <w:t xml:space="preserve"> </w:t>
      </w:r>
      <w:proofErr w:type="spellStart"/>
      <w:r w:rsidRPr="006D78EF">
        <w:rPr>
          <w:rFonts w:asciiTheme="majorBidi" w:hAnsiTheme="majorBidi" w:cstheme="majorBidi"/>
          <w:i/>
          <w:iCs/>
        </w:rPr>
        <w:t>hispida</w:t>
      </w:r>
      <w:proofErr w:type="spellEnd"/>
      <w:r w:rsidRPr="006D78EF">
        <w:rPr>
          <w:rFonts w:asciiTheme="majorBidi" w:hAnsiTheme="majorBidi" w:cstheme="majorBidi"/>
        </w:rPr>
        <w:t>) et l'envahissement d'autres espèces (</w:t>
      </w:r>
      <w:proofErr w:type="spellStart"/>
      <w:r w:rsidRPr="006D78EF">
        <w:rPr>
          <w:rFonts w:asciiTheme="majorBidi" w:hAnsiTheme="majorBidi" w:cstheme="majorBidi"/>
          <w:i/>
          <w:iCs/>
        </w:rPr>
        <w:t>Mesembryanthemum</w:t>
      </w:r>
      <w:proofErr w:type="spellEnd"/>
      <w:r w:rsidRPr="006D78EF">
        <w:rPr>
          <w:rFonts w:asciiTheme="majorBidi" w:hAnsiTheme="majorBidi" w:cstheme="majorBidi"/>
          <w:i/>
          <w:iCs/>
        </w:rPr>
        <w:t xml:space="preserve"> </w:t>
      </w:r>
      <w:proofErr w:type="spellStart"/>
      <w:r w:rsidRPr="006D78EF">
        <w:rPr>
          <w:rFonts w:asciiTheme="majorBidi" w:hAnsiTheme="majorBidi" w:cstheme="majorBidi"/>
          <w:i/>
          <w:iCs/>
        </w:rPr>
        <w:t>cristallinum</w:t>
      </w:r>
      <w:proofErr w:type="spellEnd"/>
      <w:r w:rsidRPr="006D78EF">
        <w:rPr>
          <w:rFonts w:asciiTheme="majorBidi" w:hAnsiTheme="majorBidi" w:cstheme="majorBidi"/>
        </w:rPr>
        <w:t>).</w:t>
      </w:r>
    </w:p>
    <w:p w:rsidR="00451956" w:rsidRDefault="00766A83" w:rsidP="00766A83">
      <w:r w:rsidRPr="006D78EF">
        <w:rPr>
          <w:rFonts w:asciiTheme="majorBidi" w:hAnsiTheme="majorBidi" w:cstheme="majorBidi"/>
        </w:rPr>
        <w:t xml:space="preserve">Mots clés : </w:t>
      </w:r>
      <w:proofErr w:type="spellStart"/>
      <w:r w:rsidRPr="006D78EF">
        <w:rPr>
          <w:rFonts w:asciiTheme="majorBidi" w:hAnsiTheme="majorBidi" w:cstheme="majorBidi"/>
        </w:rPr>
        <w:t>Synécolgie</w:t>
      </w:r>
      <w:proofErr w:type="spellEnd"/>
      <w:r w:rsidRPr="006D78EF">
        <w:rPr>
          <w:rFonts w:asciiTheme="majorBidi" w:hAnsiTheme="majorBidi" w:cstheme="majorBidi"/>
        </w:rPr>
        <w:t xml:space="preserve"> – Dynamique – DCA – SIG – biodiversité - Macta</w:t>
      </w:r>
      <w:bookmarkStart w:id="0" w:name="_GoBack"/>
      <w:bookmarkEnd w:id="0"/>
    </w:p>
    <w:sectPr w:rsidR="00451956">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6"/>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66A83"/>
    <w:rsid w:val="00626DD8"/>
    <w:rsid w:val="00766A83"/>
    <w:rsid w:val="00B14055"/>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0C61ABA7-3ED5-46D5-8D9A-2A61327226E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66A83"/>
    <w:pPr>
      <w:spacing w:after="0" w:line="240" w:lineRule="auto"/>
    </w:pPr>
    <w:rPr>
      <w:rFonts w:ascii="Times New Roman" w:eastAsia="Times New Roman" w:hAnsi="Times New Roman" w:cs="Times New Roman"/>
      <w:sz w:val="24"/>
      <w:szCs w:val="24"/>
      <w:lang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423</Words>
  <Characters>2330</Characters>
  <Application>Microsoft Office Word</Application>
  <DocSecurity>0</DocSecurity>
  <Lines>19</Lines>
  <Paragraphs>5</Paragraphs>
  <ScaleCrop>false</ScaleCrop>
  <Company/>
  <LinksUpToDate>false</LinksUpToDate>
  <CharactersWithSpaces>2748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PC</dc:creator>
  <cp:keywords/>
  <dc:description/>
  <cp:lastModifiedBy>PC</cp:lastModifiedBy>
  <cp:revision>1</cp:revision>
  <dcterms:created xsi:type="dcterms:W3CDTF">2017-09-10T10:19:00Z</dcterms:created>
  <dcterms:modified xsi:type="dcterms:W3CDTF">2017-09-10T10:19:00Z</dcterms:modified>
</cp:coreProperties>
</file>