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C1014" w:rsidRDefault="007C1014" w:rsidP="00674E7C">
      <w:pPr>
        <w:jc w:val="both"/>
        <w:rPr>
          <w:rFonts w:asciiTheme="majorBidi" w:hAnsiTheme="majorBidi" w:cstheme="majorBidi"/>
          <w:b/>
          <w:bCs/>
          <w:sz w:val="28"/>
          <w:szCs w:val="28"/>
          <w:u w:val="single"/>
        </w:rPr>
      </w:pPr>
    </w:p>
    <w:p w:rsidR="007C1014" w:rsidRDefault="007C1014" w:rsidP="00674E7C">
      <w:pPr>
        <w:jc w:val="both"/>
        <w:rPr>
          <w:rFonts w:asciiTheme="majorBidi" w:hAnsiTheme="majorBidi" w:cstheme="majorBidi"/>
          <w:b/>
          <w:bCs/>
          <w:sz w:val="28"/>
          <w:szCs w:val="28"/>
          <w:u w:val="single"/>
        </w:rPr>
      </w:pPr>
    </w:p>
    <w:p w:rsidR="007C1014" w:rsidRDefault="007C1014" w:rsidP="00674E7C">
      <w:pPr>
        <w:jc w:val="both"/>
        <w:rPr>
          <w:rFonts w:asciiTheme="majorBidi" w:hAnsiTheme="majorBidi" w:cstheme="majorBidi"/>
          <w:b/>
          <w:bCs/>
          <w:sz w:val="28"/>
          <w:szCs w:val="28"/>
          <w:u w:val="single"/>
        </w:rPr>
      </w:pPr>
    </w:p>
    <w:p w:rsidR="007C1014" w:rsidRDefault="007C1014" w:rsidP="00674E7C">
      <w:pPr>
        <w:jc w:val="both"/>
        <w:rPr>
          <w:rFonts w:asciiTheme="majorBidi" w:hAnsiTheme="majorBidi" w:cstheme="majorBidi"/>
          <w:b/>
          <w:bCs/>
          <w:sz w:val="28"/>
          <w:szCs w:val="28"/>
          <w:u w:val="single"/>
        </w:rPr>
      </w:pPr>
    </w:p>
    <w:p w:rsidR="007C1014" w:rsidRDefault="007C1014" w:rsidP="00674E7C">
      <w:pPr>
        <w:jc w:val="both"/>
        <w:rPr>
          <w:rFonts w:asciiTheme="majorBidi" w:hAnsiTheme="majorBidi" w:cstheme="majorBidi"/>
          <w:b/>
          <w:bCs/>
          <w:sz w:val="28"/>
          <w:szCs w:val="28"/>
          <w:u w:val="single"/>
        </w:rPr>
      </w:pPr>
    </w:p>
    <w:p w:rsidR="007C1014" w:rsidRDefault="007C1014" w:rsidP="00674E7C">
      <w:pPr>
        <w:jc w:val="both"/>
        <w:rPr>
          <w:rFonts w:asciiTheme="majorBidi" w:hAnsiTheme="majorBidi" w:cstheme="majorBidi"/>
          <w:b/>
          <w:bCs/>
          <w:sz w:val="28"/>
          <w:szCs w:val="28"/>
          <w:u w:val="single"/>
        </w:rPr>
      </w:pPr>
    </w:p>
    <w:p w:rsidR="007C1014" w:rsidRDefault="007C1014" w:rsidP="00674E7C">
      <w:pPr>
        <w:jc w:val="both"/>
        <w:rPr>
          <w:rFonts w:asciiTheme="majorBidi" w:hAnsiTheme="majorBidi" w:cstheme="majorBidi"/>
          <w:b/>
          <w:bCs/>
          <w:sz w:val="28"/>
          <w:szCs w:val="28"/>
          <w:u w:val="single"/>
        </w:rPr>
      </w:pPr>
    </w:p>
    <w:p w:rsidR="004F62DD" w:rsidRPr="002B44BD" w:rsidRDefault="004F62DD" w:rsidP="00674E7C">
      <w:pPr>
        <w:jc w:val="both"/>
        <w:rPr>
          <w:rFonts w:asciiTheme="majorBidi" w:hAnsiTheme="majorBidi" w:cstheme="majorBidi"/>
          <w:b/>
          <w:bCs/>
          <w:sz w:val="24"/>
          <w:szCs w:val="24"/>
          <w:u w:val="single"/>
        </w:rPr>
      </w:pPr>
      <w:r w:rsidRPr="002B44BD">
        <w:rPr>
          <w:rFonts w:asciiTheme="majorBidi" w:hAnsiTheme="majorBidi" w:cstheme="majorBidi"/>
          <w:b/>
          <w:bCs/>
          <w:sz w:val="28"/>
          <w:szCs w:val="28"/>
          <w:u w:val="single"/>
        </w:rPr>
        <w:t>Résumé</w:t>
      </w:r>
      <w:r w:rsidRPr="002B44BD">
        <w:rPr>
          <w:rFonts w:asciiTheme="majorBidi" w:hAnsiTheme="majorBidi" w:cstheme="majorBidi"/>
          <w:b/>
          <w:bCs/>
          <w:sz w:val="24"/>
          <w:szCs w:val="24"/>
          <w:u w:val="single"/>
        </w:rPr>
        <w:t xml:space="preserve"> : </w:t>
      </w:r>
    </w:p>
    <w:p w:rsidR="002B44BD" w:rsidRDefault="002B44BD" w:rsidP="00674E7C">
      <w:pPr>
        <w:jc w:val="both"/>
        <w:rPr>
          <w:rFonts w:asciiTheme="majorBidi" w:hAnsiTheme="majorBidi" w:cstheme="majorBidi"/>
          <w:sz w:val="24"/>
          <w:szCs w:val="24"/>
        </w:rPr>
      </w:pPr>
    </w:p>
    <w:p w:rsidR="001A2EA4" w:rsidRDefault="0052792D" w:rsidP="00674E7C">
      <w:pPr>
        <w:jc w:val="both"/>
        <w:rPr>
          <w:rFonts w:asciiTheme="majorBidi" w:hAnsiTheme="majorBidi" w:cstheme="majorBidi"/>
          <w:sz w:val="24"/>
          <w:szCs w:val="24"/>
        </w:rPr>
      </w:pPr>
      <w:r w:rsidRPr="0052792D">
        <w:rPr>
          <w:rFonts w:asciiTheme="majorBidi" w:hAnsiTheme="majorBidi" w:cstheme="majorBidi"/>
          <w:sz w:val="24"/>
          <w:szCs w:val="24"/>
        </w:rPr>
        <w:t xml:space="preserve">Dans ce travail nous présentons les résultats de </w:t>
      </w:r>
      <w:r>
        <w:rPr>
          <w:rFonts w:asciiTheme="majorBidi" w:hAnsiTheme="majorBidi" w:cstheme="majorBidi"/>
          <w:sz w:val="24"/>
          <w:szCs w:val="24"/>
        </w:rPr>
        <w:t>l’interprétation des données champs</w:t>
      </w:r>
      <w:r w:rsidR="002E0C05">
        <w:rPr>
          <w:rFonts w:asciiTheme="majorBidi" w:hAnsiTheme="majorBidi" w:cstheme="majorBidi"/>
          <w:sz w:val="24"/>
          <w:szCs w:val="24"/>
        </w:rPr>
        <w:t xml:space="preserve"> de</w:t>
      </w:r>
      <w:r>
        <w:rPr>
          <w:rFonts w:asciiTheme="majorBidi" w:hAnsiTheme="majorBidi" w:cstheme="majorBidi"/>
          <w:sz w:val="24"/>
          <w:szCs w:val="24"/>
        </w:rPr>
        <w:t xml:space="preserve"> potentiel du sud-ouest Algérien constitué de plusieurs domaines géologiques différents.</w:t>
      </w:r>
    </w:p>
    <w:p w:rsidR="0052792D" w:rsidRDefault="0052792D" w:rsidP="00674E7C">
      <w:pPr>
        <w:jc w:val="both"/>
        <w:rPr>
          <w:rFonts w:asciiTheme="majorBidi" w:hAnsiTheme="majorBidi" w:cstheme="majorBidi"/>
          <w:sz w:val="24"/>
          <w:szCs w:val="24"/>
        </w:rPr>
      </w:pPr>
      <w:r w:rsidRPr="0052792D">
        <w:rPr>
          <w:rFonts w:asciiTheme="majorBidi" w:hAnsiTheme="majorBidi" w:cstheme="majorBidi"/>
          <w:sz w:val="24"/>
          <w:szCs w:val="24"/>
        </w:rPr>
        <w:t xml:space="preserve">L’approche que nous avons </w:t>
      </w:r>
      <w:r w:rsidR="004F62DD" w:rsidRPr="0052792D">
        <w:rPr>
          <w:rFonts w:asciiTheme="majorBidi" w:hAnsiTheme="majorBidi" w:cstheme="majorBidi"/>
          <w:sz w:val="24"/>
          <w:szCs w:val="24"/>
        </w:rPr>
        <w:t>choisie</w:t>
      </w:r>
      <w:r w:rsidRPr="0052792D">
        <w:rPr>
          <w:rFonts w:asciiTheme="majorBidi" w:hAnsiTheme="majorBidi" w:cstheme="majorBidi"/>
          <w:sz w:val="24"/>
          <w:szCs w:val="24"/>
        </w:rPr>
        <w:t xml:space="preserve"> est basée sur l’inversion 3D des données magnétiques et gravimétriques. </w:t>
      </w:r>
      <w:r>
        <w:rPr>
          <w:rFonts w:asciiTheme="majorBidi" w:hAnsiTheme="majorBidi" w:cstheme="majorBidi"/>
          <w:sz w:val="24"/>
          <w:szCs w:val="24"/>
        </w:rPr>
        <w:t xml:space="preserve">Avant de </w:t>
      </w:r>
      <w:r w:rsidR="004F62DD">
        <w:rPr>
          <w:rFonts w:asciiTheme="majorBidi" w:hAnsiTheme="majorBidi" w:cstheme="majorBidi"/>
          <w:sz w:val="24"/>
          <w:szCs w:val="24"/>
        </w:rPr>
        <w:t>procéder</w:t>
      </w:r>
      <w:r>
        <w:rPr>
          <w:rFonts w:asciiTheme="majorBidi" w:hAnsiTheme="majorBidi" w:cstheme="majorBidi"/>
          <w:sz w:val="24"/>
          <w:szCs w:val="24"/>
        </w:rPr>
        <w:t xml:space="preserve"> aux inversions des données magnétiques, une méthode d’estimation de la direction de l’aimantation a été développée</w:t>
      </w:r>
      <w:r w:rsidR="004F62DD">
        <w:rPr>
          <w:rFonts w:asciiTheme="majorBidi" w:hAnsiTheme="majorBidi" w:cstheme="majorBidi"/>
          <w:sz w:val="24"/>
          <w:szCs w:val="24"/>
        </w:rPr>
        <w:t xml:space="preserve"> et appliquée.</w:t>
      </w:r>
      <w:r>
        <w:rPr>
          <w:rFonts w:asciiTheme="majorBidi" w:hAnsiTheme="majorBidi" w:cstheme="majorBidi"/>
          <w:sz w:val="24"/>
          <w:szCs w:val="24"/>
        </w:rPr>
        <w:t xml:space="preserve"> </w:t>
      </w:r>
    </w:p>
    <w:p w:rsidR="0052792D" w:rsidRPr="0052792D" w:rsidRDefault="0052792D" w:rsidP="00674E7C">
      <w:pPr>
        <w:jc w:val="both"/>
        <w:rPr>
          <w:rFonts w:asciiTheme="majorBidi" w:hAnsiTheme="majorBidi" w:cstheme="majorBidi"/>
          <w:sz w:val="24"/>
          <w:szCs w:val="24"/>
        </w:rPr>
      </w:pPr>
      <w:r w:rsidRPr="0052792D">
        <w:rPr>
          <w:rFonts w:asciiTheme="majorBidi" w:hAnsiTheme="majorBidi" w:cstheme="majorBidi"/>
          <w:sz w:val="24"/>
          <w:szCs w:val="24"/>
        </w:rPr>
        <w:t>Les résultats obtenus confirm</w:t>
      </w:r>
      <w:r>
        <w:rPr>
          <w:rFonts w:asciiTheme="majorBidi" w:hAnsiTheme="majorBidi" w:cstheme="majorBidi"/>
          <w:sz w:val="24"/>
          <w:szCs w:val="24"/>
        </w:rPr>
        <w:t>ent</w:t>
      </w:r>
      <w:r w:rsidRPr="0052792D">
        <w:rPr>
          <w:rFonts w:asciiTheme="majorBidi" w:hAnsiTheme="majorBidi" w:cstheme="majorBidi"/>
          <w:sz w:val="24"/>
          <w:szCs w:val="24"/>
        </w:rPr>
        <w:t xml:space="preserve"> l’existence de certains éléments géologiques déjà connus, découverts par des études antécédentes (comme la zone de suture entre le Craton Ouest Africain et l’Ouest du Hoggar localisé pour la première fois par Bayer et </w:t>
      </w:r>
      <w:proofErr w:type="spellStart"/>
      <w:r w:rsidRPr="0052792D">
        <w:rPr>
          <w:rFonts w:asciiTheme="majorBidi" w:hAnsiTheme="majorBidi" w:cstheme="majorBidi"/>
          <w:sz w:val="24"/>
          <w:szCs w:val="24"/>
        </w:rPr>
        <w:t>Lesquer</w:t>
      </w:r>
      <w:proofErr w:type="spellEnd"/>
      <w:r w:rsidRPr="0052792D">
        <w:rPr>
          <w:rFonts w:asciiTheme="majorBidi" w:hAnsiTheme="majorBidi" w:cstheme="majorBidi"/>
          <w:sz w:val="24"/>
          <w:szCs w:val="24"/>
        </w:rPr>
        <w:t xml:space="preserve">  en1978),  en plus de nouveaux éléments structuraux, mettant ainsi la lumières aux zones d’ombre que constituaient les limites entre</w:t>
      </w:r>
      <w:r>
        <w:rPr>
          <w:rFonts w:asciiTheme="majorBidi" w:hAnsiTheme="majorBidi" w:cstheme="majorBidi"/>
          <w:sz w:val="24"/>
          <w:szCs w:val="24"/>
        </w:rPr>
        <w:t xml:space="preserve"> le</w:t>
      </w:r>
      <w:r w:rsidRPr="0052792D">
        <w:rPr>
          <w:rFonts w:asciiTheme="majorBidi" w:hAnsiTheme="majorBidi" w:cstheme="majorBidi"/>
          <w:sz w:val="24"/>
          <w:szCs w:val="24"/>
        </w:rPr>
        <w:t xml:space="preserve"> Craton Ouest-Africain, </w:t>
      </w:r>
      <w:r>
        <w:rPr>
          <w:rFonts w:asciiTheme="majorBidi" w:hAnsiTheme="majorBidi" w:cstheme="majorBidi"/>
          <w:sz w:val="24"/>
          <w:szCs w:val="24"/>
        </w:rPr>
        <w:t xml:space="preserve">la </w:t>
      </w:r>
      <w:r w:rsidRPr="0052792D">
        <w:rPr>
          <w:rFonts w:asciiTheme="majorBidi" w:hAnsiTheme="majorBidi" w:cstheme="majorBidi"/>
          <w:sz w:val="24"/>
          <w:szCs w:val="24"/>
        </w:rPr>
        <w:t xml:space="preserve">plateforme saharienne et </w:t>
      </w:r>
      <w:r>
        <w:rPr>
          <w:rFonts w:asciiTheme="majorBidi" w:hAnsiTheme="majorBidi" w:cstheme="majorBidi"/>
          <w:sz w:val="24"/>
          <w:szCs w:val="24"/>
        </w:rPr>
        <w:t xml:space="preserve">le </w:t>
      </w:r>
      <w:r w:rsidRPr="0052792D">
        <w:rPr>
          <w:rFonts w:asciiTheme="majorBidi" w:hAnsiTheme="majorBidi" w:cstheme="majorBidi"/>
          <w:sz w:val="24"/>
          <w:szCs w:val="24"/>
        </w:rPr>
        <w:t xml:space="preserve">Hoggar.      </w:t>
      </w:r>
    </w:p>
    <w:p w:rsidR="0052792D" w:rsidRDefault="0052792D" w:rsidP="00674E7C">
      <w:pPr>
        <w:jc w:val="both"/>
        <w:rPr>
          <w:rFonts w:asciiTheme="majorBidi" w:hAnsiTheme="majorBidi" w:cstheme="majorBidi"/>
          <w:sz w:val="24"/>
          <w:szCs w:val="24"/>
        </w:rPr>
      </w:pPr>
    </w:p>
    <w:p w:rsidR="0052792D" w:rsidRPr="0052792D" w:rsidRDefault="0052792D" w:rsidP="00674E7C">
      <w:pPr>
        <w:jc w:val="both"/>
        <w:rPr>
          <w:rFonts w:asciiTheme="majorBidi" w:hAnsiTheme="majorBidi" w:cstheme="majorBidi"/>
          <w:sz w:val="24"/>
          <w:szCs w:val="24"/>
        </w:rPr>
      </w:pPr>
    </w:p>
    <w:p w:rsidR="0052792D" w:rsidRPr="0052792D" w:rsidRDefault="0052792D" w:rsidP="00674E7C">
      <w:pPr>
        <w:jc w:val="both"/>
        <w:rPr>
          <w:rFonts w:asciiTheme="majorBidi" w:hAnsiTheme="majorBidi" w:cstheme="majorBidi"/>
          <w:sz w:val="24"/>
          <w:szCs w:val="24"/>
        </w:rPr>
      </w:pPr>
    </w:p>
    <w:p w:rsidR="0052792D" w:rsidRPr="0052792D" w:rsidRDefault="0052792D" w:rsidP="00674E7C">
      <w:pPr>
        <w:jc w:val="both"/>
        <w:rPr>
          <w:rFonts w:asciiTheme="majorBidi" w:hAnsiTheme="majorBidi" w:cstheme="majorBidi"/>
          <w:sz w:val="24"/>
          <w:szCs w:val="24"/>
        </w:rPr>
      </w:pPr>
    </w:p>
    <w:p w:rsidR="0052792D" w:rsidRPr="0052792D" w:rsidRDefault="0052792D" w:rsidP="00674E7C">
      <w:pPr>
        <w:jc w:val="both"/>
        <w:rPr>
          <w:rFonts w:asciiTheme="majorBidi" w:hAnsiTheme="majorBidi" w:cstheme="majorBidi"/>
          <w:sz w:val="24"/>
          <w:szCs w:val="24"/>
        </w:rPr>
      </w:pPr>
    </w:p>
    <w:sectPr w:rsidR="0052792D" w:rsidRPr="0052792D" w:rsidSect="00BC2079">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52792D"/>
    <w:rsid w:val="00185B63"/>
    <w:rsid w:val="001A2EA4"/>
    <w:rsid w:val="002B44BD"/>
    <w:rsid w:val="002E0C05"/>
    <w:rsid w:val="00492418"/>
    <w:rsid w:val="004F62DD"/>
    <w:rsid w:val="0052792D"/>
    <w:rsid w:val="00674E7C"/>
    <w:rsid w:val="007C1014"/>
    <w:rsid w:val="00BC2079"/>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2792D"/>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2792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microsoft.com/office/2007/relationships/stylesWithEffects" Target="stylesWithEffect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160</TotalTime>
  <Pages>1</Pages>
  <Words>136</Words>
  <Characters>780</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915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Hichem</dc:creator>
  <cp:lastModifiedBy>traitement</cp:lastModifiedBy>
  <cp:revision>6</cp:revision>
  <dcterms:created xsi:type="dcterms:W3CDTF">2016-12-17T12:16:00Z</dcterms:created>
  <dcterms:modified xsi:type="dcterms:W3CDTF">2017-05-17T12:14:00Z</dcterms:modified>
</cp:coreProperties>
</file>