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3233" w:rsidRDefault="00703233" w:rsidP="00703233">
      <w:r>
        <w:t xml:space="preserve">L'envenimation scorpionique est un problème de santé commun dans divers pays tropicaux </w:t>
      </w:r>
    </w:p>
    <w:p w:rsidR="00703233" w:rsidRDefault="00703233" w:rsidP="00703233">
      <w:r>
        <w:t xml:space="preserve"> </w:t>
      </w:r>
      <w:proofErr w:type="gramStart"/>
      <w:r>
        <w:t>et</w:t>
      </w:r>
      <w:proofErr w:type="gramEnd"/>
      <w:r>
        <w:t xml:space="preserve"> subtropicaux. En Algérie, les scorpions Androctonus australis hector et Buthus occitanus</w:t>
      </w:r>
    </w:p>
    <w:p w:rsidR="00703233" w:rsidRDefault="00703233" w:rsidP="00703233">
      <w:r>
        <w:t xml:space="preserve"> </w:t>
      </w:r>
      <w:proofErr w:type="gramStart"/>
      <w:r>
        <w:t>tunétanus</w:t>
      </w:r>
      <w:proofErr w:type="gramEnd"/>
      <w:r>
        <w:t xml:space="preserve"> sont la cause de la majorité des cas d'envenimations scorpioniques.</w:t>
      </w:r>
    </w:p>
    <w:p w:rsidR="00703233" w:rsidRDefault="00703233" w:rsidP="00703233">
      <w:r>
        <w:t xml:space="preserve">Dans cette étude, les effets d'une dose sublétale de la toxine AahI, une des toxines </w:t>
      </w:r>
    </w:p>
    <w:p w:rsidR="00703233" w:rsidRDefault="00703233" w:rsidP="00703233">
      <w:proofErr w:type="gramStart"/>
      <w:r>
        <w:t>majoritaires</w:t>
      </w:r>
      <w:proofErr w:type="gramEnd"/>
      <w:r>
        <w:t xml:space="preserve"> du venin d'Androctonus australis hector (Aah) et de la toxine Bot III, principale </w:t>
      </w:r>
    </w:p>
    <w:p w:rsidR="00703233" w:rsidRDefault="00703233" w:rsidP="00703233">
      <w:proofErr w:type="gramStart"/>
      <w:r>
        <w:t>toxine</w:t>
      </w:r>
      <w:proofErr w:type="gramEnd"/>
      <w:r>
        <w:t xml:space="preserve"> du venin Buthus occitanus tunetanus (Bot) sur la structure des organes foie, cœur et</w:t>
      </w:r>
    </w:p>
    <w:p w:rsidR="00703233" w:rsidRDefault="00703233" w:rsidP="00703233">
      <w:r>
        <w:t xml:space="preserve"> </w:t>
      </w:r>
      <w:proofErr w:type="gramStart"/>
      <w:r>
        <w:t>poumons</w:t>
      </w:r>
      <w:proofErr w:type="gramEnd"/>
      <w:r>
        <w:t xml:space="preserve"> ainsi que les activités enzymatiques (LDH ; CPK ; GOT ; GPT) ont été déterminés </w:t>
      </w:r>
    </w:p>
    <w:p w:rsidR="00703233" w:rsidRDefault="00703233" w:rsidP="00703233">
      <w:proofErr w:type="gramStart"/>
      <w:r>
        <w:t>à</w:t>
      </w:r>
      <w:proofErr w:type="gramEnd"/>
      <w:r>
        <w:t xml:space="preserve"> de différents temps d'envenimation. (30 min, 3 et 24 heures).</w:t>
      </w:r>
    </w:p>
    <w:p w:rsidR="00703233" w:rsidRDefault="00703233" w:rsidP="00703233">
      <w:r>
        <w:t xml:space="preserve">L'effet de ces deux toxines sur les taux plasmatiques en cytokines (IL1-?, IL-6 et IL-10), </w:t>
      </w:r>
    </w:p>
    <w:p w:rsidR="00703233" w:rsidRDefault="00703233" w:rsidP="00703233">
      <w:proofErr w:type="gramStart"/>
      <w:r>
        <w:t>l'infiltration</w:t>
      </w:r>
      <w:proofErr w:type="gramEnd"/>
      <w:r>
        <w:t xml:space="preserve"> des leucocytes vers le liquides intra péritonéales ainsi que les taux de l'enzyme </w:t>
      </w:r>
    </w:p>
    <w:p w:rsidR="00703233" w:rsidRDefault="00703233" w:rsidP="00703233">
      <w:r>
        <w:t xml:space="preserve">EPO ont également été étudiés en présence ou en absence de différentes molécules </w:t>
      </w:r>
    </w:p>
    <w:p w:rsidR="00703233" w:rsidRDefault="00703233" w:rsidP="00703233">
      <w:proofErr w:type="gramStart"/>
      <w:r>
        <w:t>d'anticorps</w:t>
      </w:r>
      <w:proofErr w:type="gramEnd"/>
      <w:r>
        <w:t xml:space="preserve">. </w:t>
      </w:r>
    </w:p>
    <w:p w:rsidR="00703233" w:rsidRDefault="00703233" w:rsidP="00703233">
      <w:r>
        <w:t>Les observations microscopiques ont montré un oedème interstitiel au niveau des fibres</w:t>
      </w:r>
    </w:p>
    <w:p w:rsidR="00703233" w:rsidRDefault="00703233" w:rsidP="00703233">
      <w:r>
        <w:t xml:space="preserve"> </w:t>
      </w:r>
      <w:proofErr w:type="gramStart"/>
      <w:r>
        <w:t>myocardiques</w:t>
      </w:r>
      <w:proofErr w:type="gramEnd"/>
      <w:r>
        <w:t>, un oedème inflammatoire, des parois alvéolaires dilatées avec infiltration des</w:t>
      </w:r>
    </w:p>
    <w:p w:rsidR="00703233" w:rsidRDefault="00703233" w:rsidP="00703233">
      <w:r>
        <w:t xml:space="preserve"> </w:t>
      </w:r>
      <w:proofErr w:type="gramStart"/>
      <w:r>
        <w:t>polynucléaires</w:t>
      </w:r>
      <w:proofErr w:type="gramEnd"/>
      <w:r>
        <w:t xml:space="preserve"> neutrophiles au niveau du poumon, congestion des hépatocytes  avec </w:t>
      </w:r>
    </w:p>
    <w:p w:rsidR="00703233" w:rsidRDefault="00703233" w:rsidP="00703233">
      <w:proofErr w:type="gramStart"/>
      <w:r>
        <w:t>noyaux</w:t>
      </w:r>
      <w:proofErr w:type="gramEnd"/>
      <w:r>
        <w:t xml:space="preserve"> altérés et des hémorragies au niveau du foie. Des taux sériques élevés de LDH ; </w:t>
      </w:r>
    </w:p>
    <w:p w:rsidR="00703233" w:rsidRDefault="00703233" w:rsidP="00703233">
      <w:r>
        <w:t>CPK ; GOT et de GPT ont été observés et sont en étroite corrélation avec les atteintes</w:t>
      </w:r>
    </w:p>
    <w:p w:rsidR="00703233" w:rsidRDefault="00703233" w:rsidP="00703233">
      <w:r>
        <w:t xml:space="preserve"> </w:t>
      </w:r>
      <w:proofErr w:type="gramStart"/>
      <w:r>
        <w:t>tissulaires</w:t>
      </w:r>
      <w:proofErr w:type="gramEnd"/>
      <w:r>
        <w:t xml:space="preserve"> observées.</w:t>
      </w:r>
    </w:p>
    <w:p w:rsidR="00703233" w:rsidRDefault="00703233" w:rsidP="00703233">
      <w:r>
        <w:t>Dans cette étude,  une cinétique rapide de la production des cytokines pro-inflammatoires</w:t>
      </w:r>
    </w:p>
    <w:p w:rsidR="00703233" w:rsidRDefault="00703233" w:rsidP="00703233">
      <w:r>
        <w:t xml:space="preserve"> (IL1, IL-6) et d'une cytokine anti-inflammatoire  (IL-10) a été observée. Une augmentation</w:t>
      </w:r>
    </w:p>
    <w:p w:rsidR="00703233" w:rsidRDefault="00703233" w:rsidP="00703233">
      <w:r>
        <w:t xml:space="preserve"> </w:t>
      </w:r>
      <w:proofErr w:type="gramStart"/>
      <w:r>
        <w:t>des</w:t>
      </w:r>
      <w:proofErr w:type="gramEnd"/>
      <w:r>
        <w:t xml:space="preserve"> taux sériques de ces cytokines était observée à 3 h d'envenimation. Le taux de</w:t>
      </w:r>
    </w:p>
    <w:p w:rsidR="00703233" w:rsidRDefault="00703233" w:rsidP="00703233">
      <w:r>
        <w:t xml:space="preserve"> </w:t>
      </w:r>
      <w:proofErr w:type="gramStart"/>
      <w:r>
        <w:t>l'enzyme</w:t>
      </w:r>
      <w:proofErr w:type="gramEnd"/>
      <w:r>
        <w:t xml:space="preserve"> EPO marqueur de la séquestration des polynucléaires présente une augmentation </w:t>
      </w:r>
    </w:p>
    <w:p w:rsidR="00703233" w:rsidRDefault="00703233" w:rsidP="00703233">
      <w:proofErr w:type="gramStart"/>
      <w:r>
        <w:t>significative</w:t>
      </w:r>
      <w:proofErr w:type="gramEnd"/>
      <w:r>
        <w:t xml:space="preserve"> accompagnée d'une leucocytose au niveau du liquide intra péritonéale avec </w:t>
      </w:r>
    </w:p>
    <w:p w:rsidR="00703233" w:rsidRDefault="00703233" w:rsidP="00703233">
      <w:proofErr w:type="gramStart"/>
      <w:r>
        <w:t>une</w:t>
      </w:r>
      <w:proofErr w:type="gramEnd"/>
      <w:r>
        <w:t xml:space="preserve"> prédominance de mononucléaires et polynucléaires.</w:t>
      </w:r>
    </w:p>
    <w:p w:rsidR="00703233" w:rsidRDefault="00703233" w:rsidP="00703233">
      <w:r>
        <w:t xml:space="preserve"> </w:t>
      </w:r>
    </w:p>
    <w:p w:rsidR="00703233" w:rsidRDefault="00703233" w:rsidP="00703233">
      <w:r>
        <w:t xml:space="preserve">Toutefois, il faut signaler que tous ces changements dus à l'envenimation par ces deux </w:t>
      </w:r>
    </w:p>
    <w:p w:rsidR="00703233" w:rsidRDefault="00703233" w:rsidP="00703233">
      <w:proofErr w:type="gramStart"/>
      <w:r>
        <w:t>toxines</w:t>
      </w:r>
      <w:proofErr w:type="gramEnd"/>
      <w:r>
        <w:t xml:space="preserve"> sont nettement plus importants avec la toxine Aah I en comparaison avec les effets </w:t>
      </w:r>
    </w:p>
    <w:p w:rsidR="00703233" w:rsidRDefault="00703233" w:rsidP="00703233">
      <w:proofErr w:type="gramStart"/>
      <w:r>
        <w:lastRenderedPageBreak/>
        <w:t>de</w:t>
      </w:r>
      <w:proofErr w:type="gramEnd"/>
      <w:r>
        <w:t xml:space="preserve"> la toxine Bot III.</w:t>
      </w:r>
    </w:p>
    <w:p w:rsidR="00703233" w:rsidRDefault="00703233" w:rsidP="00703233">
      <w:r>
        <w:t xml:space="preserve">Afin de neutraliser les effets observés, des anticorps utilisés dans cette études sont des </w:t>
      </w:r>
    </w:p>
    <w:p w:rsidR="00703233" w:rsidRDefault="00703233" w:rsidP="00703233">
      <w:proofErr w:type="gramStart"/>
      <w:r>
        <w:t>immun</w:t>
      </w:r>
      <w:proofErr w:type="gramEnd"/>
      <w:r>
        <w:t xml:space="preserve"> sérums commercialisés ou expérimentaux constitués de molécules d'IgG dirigés soit </w:t>
      </w:r>
    </w:p>
    <w:p w:rsidR="00703233" w:rsidRDefault="00703233" w:rsidP="00703233">
      <w:proofErr w:type="gramStart"/>
      <w:r>
        <w:t>contre</w:t>
      </w:r>
      <w:proofErr w:type="gramEnd"/>
      <w:r>
        <w:t xml:space="preserve"> la toxine Aah I ou la toxine Bot III et comparés à des immun sérums constitués de</w:t>
      </w:r>
    </w:p>
    <w:p w:rsidR="00703233" w:rsidRDefault="00703233" w:rsidP="00703233">
      <w:proofErr w:type="gramStart"/>
      <w:r>
        <w:t>molécules</w:t>
      </w:r>
      <w:proofErr w:type="gramEnd"/>
      <w:r>
        <w:t xml:space="preserve"> d'IgG dirigés contre la fraction toxique Aah : anti venin FtoxG 50Aah ou anti venin</w:t>
      </w:r>
    </w:p>
    <w:p w:rsidR="00703233" w:rsidRDefault="00703233" w:rsidP="00703233">
      <w:r>
        <w:t xml:space="preserve"> Bot total. </w:t>
      </w:r>
    </w:p>
    <w:p w:rsidR="00703233" w:rsidRDefault="00703233" w:rsidP="00703233">
      <w:r>
        <w:t>L'administration de ces immun-sérums réduit considérablement les altérations tissulaires</w:t>
      </w:r>
    </w:p>
    <w:p w:rsidR="00703233" w:rsidRDefault="00703233" w:rsidP="00703233">
      <w:r>
        <w:t xml:space="preserve"> </w:t>
      </w:r>
      <w:proofErr w:type="gramStart"/>
      <w:r>
        <w:t>induites</w:t>
      </w:r>
      <w:proofErr w:type="gramEnd"/>
      <w:r>
        <w:t xml:space="preserve">  au niveau du foie et du coeur par les deux toxines avec une neutralisation partielle </w:t>
      </w:r>
    </w:p>
    <w:p w:rsidR="00046E47" w:rsidRDefault="00703233" w:rsidP="00703233">
      <w:proofErr w:type="gramStart"/>
      <w:r>
        <w:t>au</w:t>
      </w:r>
      <w:proofErr w:type="gramEnd"/>
      <w:r>
        <w:t xml:space="preserve"> niveau des poumons. La leucocytose, l'augmentation des taux.</w:t>
      </w:r>
    </w:p>
    <w:sectPr w:rsidR="00046E47" w:rsidSect="00046E47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703233"/>
    <w:rsid w:val="00046E47"/>
    <w:rsid w:val="007032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6E4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425</Words>
  <Characters>2342</Characters>
  <Application>Microsoft Office Word</Application>
  <DocSecurity>0</DocSecurity>
  <Lines>19</Lines>
  <Paragraphs>5</Paragraphs>
  <ScaleCrop>false</ScaleCrop>
  <Company/>
  <LinksUpToDate>false</LinksUpToDate>
  <CharactersWithSpaces>2762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2015-01-15T13:23:00Z</dcterms:created>
  <dcterms:modified xsi:type="dcterms:W3CDTF">2015-01-15T13:23:00Z</dcterms:modified>
</cp:coreProperties>
</file>