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4ADF" w:rsidRPr="00324ADF" w:rsidRDefault="00324ADF" w:rsidP="00B64ED4">
      <w:pPr>
        <w:spacing w:line="360" w:lineRule="auto"/>
        <w:jc w:val="both"/>
        <w:rPr>
          <w:b/>
          <w:bCs/>
          <w:sz w:val="32"/>
          <w:szCs w:val="32"/>
          <w:u w:val="single"/>
        </w:rPr>
      </w:pPr>
      <w:r w:rsidRPr="00324ADF">
        <w:rPr>
          <w:b/>
          <w:bCs/>
          <w:sz w:val="32"/>
          <w:szCs w:val="32"/>
          <w:u w:val="single"/>
        </w:rPr>
        <w:t>Résumé :</w:t>
      </w:r>
    </w:p>
    <w:p w:rsidR="001A3E8D" w:rsidRPr="001E149E" w:rsidRDefault="001A3E8D" w:rsidP="00324ADF">
      <w:pPr>
        <w:spacing w:line="360" w:lineRule="auto"/>
        <w:jc w:val="both"/>
        <w:rPr>
          <w:sz w:val="22"/>
          <w:szCs w:val="22"/>
        </w:rPr>
      </w:pPr>
      <w:bookmarkStart w:id="0" w:name="_GoBack"/>
      <w:r w:rsidRPr="001E149E">
        <w:rPr>
          <w:sz w:val="22"/>
          <w:szCs w:val="22"/>
        </w:rPr>
        <w:t xml:space="preserve">La présente thèse porte sur l'inférence du </w:t>
      </w:r>
      <w:r w:rsidRPr="001E149E">
        <w:rPr>
          <w:i/>
          <w:iCs/>
          <w:sz w:val="22"/>
          <w:szCs w:val="22"/>
        </w:rPr>
        <w:t>quasi-maximum de vraisemblance</w:t>
      </w:r>
      <w:r w:rsidRPr="001E149E">
        <w:rPr>
          <w:sz w:val="22"/>
          <w:szCs w:val="22"/>
        </w:rPr>
        <w:t xml:space="preserve"> (QML) d'une classe générale de modèles de séries chronologiques à valeurs entières. Cette classe de modèles que nous appellerons « </w:t>
      </w:r>
      <w:r w:rsidRPr="001E149E">
        <w:rPr>
          <w:i/>
          <w:iCs/>
          <w:sz w:val="22"/>
          <w:szCs w:val="22"/>
        </w:rPr>
        <w:t>INGAR »</w:t>
      </w:r>
      <w:r w:rsidRPr="001E149E">
        <w:rPr>
          <w:sz w:val="22"/>
          <w:szCs w:val="22"/>
        </w:rPr>
        <w:t xml:space="preserve"> (</w:t>
      </w:r>
      <w:proofErr w:type="spellStart"/>
      <w:r w:rsidRPr="001E149E">
        <w:rPr>
          <w:sz w:val="22"/>
          <w:szCs w:val="22"/>
        </w:rPr>
        <w:t>INteger</w:t>
      </w:r>
      <w:proofErr w:type="spellEnd"/>
      <w:r w:rsidR="000D00C0">
        <w:rPr>
          <w:sz w:val="22"/>
          <w:szCs w:val="22"/>
        </w:rPr>
        <w:t xml:space="preserve"> </w:t>
      </w:r>
      <w:proofErr w:type="spellStart"/>
      <w:r w:rsidRPr="001E149E">
        <w:rPr>
          <w:sz w:val="22"/>
          <w:szCs w:val="22"/>
        </w:rPr>
        <w:t>Generalized</w:t>
      </w:r>
      <w:proofErr w:type="spellEnd"/>
      <w:r w:rsidR="000D00C0">
        <w:rPr>
          <w:sz w:val="22"/>
          <w:szCs w:val="22"/>
        </w:rPr>
        <w:t xml:space="preserve"> </w:t>
      </w:r>
      <w:proofErr w:type="spellStart"/>
      <w:r w:rsidRPr="001E149E">
        <w:rPr>
          <w:sz w:val="22"/>
          <w:szCs w:val="22"/>
        </w:rPr>
        <w:t>AutoregRession</w:t>
      </w:r>
      <w:proofErr w:type="spellEnd"/>
      <w:r w:rsidRPr="001E149E">
        <w:rPr>
          <w:sz w:val="22"/>
          <w:szCs w:val="22"/>
        </w:rPr>
        <w:t xml:space="preserve">) est spécifiée à travers la moyenne conditionnelle qui est une fonction mesurable, non-linéaire et paramétrée du passé infini du processus observable. Une telle classe, dans laquelle seule la moyenne conditionnelle est à spécifier, est très générale tant par la richesse des distributions conditionnelles offertes que par la forme générale de la moyenne conditionnelle. Elle englobe en fait une large gamme de modèles de séries chronologiques à valeurs entières, notamment le modèle </w:t>
      </w:r>
      <w:r w:rsidRPr="001E149E">
        <w:rPr>
          <w:i/>
          <w:iCs/>
          <w:sz w:val="22"/>
          <w:szCs w:val="22"/>
        </w:rPr>
        <w:t>ARMA généralisé</w:t>
      </w:r>
      <w:r w:rsidRPr="001E149E">
        <w:rPr>
          <w:sz w:val="22"/>
          <w:szCs w:val="22"/>
        </w:rPr>
        <w:t xml:space="preserve"> (GARMA), le modèle </w:t>
      </w:r>
      <w:r w:rsidRPr="001E149E">
        <w:rPr>
          <w:i/>
          <w:iCs/>
          <w:sz w:val="22"/>
          <w:szCs w:val="22"/>
        </w:rPr>
        <w:t>GARCH entier</w:t>
      </w:r>
      <w:r w:rsidRPr="001E149E">
        <w:rPr>
          <w:sz w:val="22"/>
          <w:szCs w:val="22"/>
        </w:rPr>
        <w:t xml:space="preserve"> (INGARCH) et le modèle </w:t>
      </w:r>
      <w:r w:rsidRPr="001E149E">
        <w:rPr>
          <w:i/>
          <w:iCs/>
          <w:sz w:val="22"/>
          <w:szCs w:val="22"/>
        </w:rPr>
        <w:t>INAR</w:t>
      </w:r>
      <w:r w:rsidRPr="001E149E">
        <w:rPr>
          <w:sz w:val="22"/>
          <w:szCs w:val="22"/>
        </w:rPr>
        <w:t xml:space="preserve"> (</w:t>
      </w:r>
      <w:proofErr w:type="spellStart"/>
      <w:r w:rsidRPr="001E149E">
        <w:rPr>
          <w:sz w:val="22"/>
          <w:szCs w:val="22"/>
        </w:rPr>
        <w:t>Integer</w:t>
      </w:r>
      <w:proofErr w:type="spellEnd"/>
      <w:r w:rsidR="000D00C0">
        <w:rPr>
          <w:sz w:val="22"/>
          <w:szCs w:val="22"/>
        </w:rPr>
        <w:t xml:space="preserve"> </w:t>
      </w:r>
      <w:proofErr w:type="spellStart"/>
      <w:r w:rsidRPr="001E149E">
        <w:rPr>
          <w:sz w:val="22"/>
          <w:szCs w:val="22"/>
        </w:rPr>
        <w:t>AutoregRession</w:t>
      </w:r>
      <w:proofErr w:type="spellEnd"/>
      <w:r w:rsidRPr="001E149E">
        <w:rPr>
          <w:sz w:val="22"/>
          <w:szCs w:val="22"/>
        </w:rPr>
        <w:t xml:space="preserve">). Pour cette classe, nous proposons deux variantes de l'estimateur du QML binomial négatif (NB-QMLE) calculées sur la base du </w:t>
      </w:r>
      <w:r w:rsidRPr="00B64ED4">
        <w:rPr>
          <w:sz w:val="22"/>
          <w:szCs w:val="22"/>
        </w:rPr>
        <w:t>profile</w:t>
      </w:r>
      <w:r w:rsidRPr="001E149E">
        <w:rPr>
          <w:sz w:val="22"/>
          <w:szCs w:val="22"/>
        </w:rPr>
        <w:t xml:space="preserve"> de la vraisemblance binomiale négative. La première, appelée «NB-QMLE en profile» (</w:t>
      </w:r>
      <w:proofErr w:type="spellStart"/>
      <w:r w:rsidRPr="001E149E">
        <w:rPr>
          <w:sz w:val="22"/>
          <w:szCs w:val="22"/>
        </w:rPr>
        <w:t>pNB</w:t>
      </w:r>
      <w:proofErr w:type="spellEnd"/>
      <w:r w:rsidRPr="001E149E">
        <w:rPr>
          <w:sz w:val="22"/>
          <w:szCs w:val="22"/>
        </w:rPr>
        <w:t xml:space="preserve">-QMLE), consiste à maximiser la fonction de vraisemblance binomiale négative par rapport au paramètre de moyenne conditionnelle tout en fixant arbitrairement le paramètre de dispersion correspondant. Lorsque ce dernier est égal à l'unité, l'estimateur résultant se réduit à l'estimateur du QML géométrique. Le deuxième estimateur, cependant, consiste en quatre étapes: un estimateur du </w:t>
      </w:r>
      <w:proofErr w:type="spellStart"/>
      <w:r w:rsidRPr="001E149E">
        <w:rPr>
          <w:sz w:val="22"/>
          <w:szCs w:val="22"/>
        </w:rPr>
        <w:t>pNB</w:t>
      </w:r>
      <w:proofErr w:type="spellEnd"/>
      <w:r w:rsidRPr="001E149E">
        <w:rPr>
          <w:sz w:val="22"/>
          <w:szCs w:val="22"/>
        </w:rPr>
        <w:t xml:space="preserve">-QML en deux étapes pour estimer le paramètre de moyenne conditionnelle et un estimateur des moindres carrés pondérés en deux étapes pour estimer le paramètre de dispersion. Pour cela, le modèle INGAR doit satisfaire une fonction de lien </w:t>
      </w:r>
      <w:r w:rsidRPr="001E149E">
        <w:rPr>
          <w:i/>
          <w:iCs/>
          <w:sz w:val="22"/>
          <w:szCs w:val="22"/>
        </w:rPr>
        <w:t>GLM</w:t>
      </w:r>
      <w:r w:rsidRPr="001E149E">
        <w:rPr>
          <w:sz w:val="22"/>
          <w:szCs w:val="22"/>
        </w:rPr>
        <w:t xml:space="preserve"> (</w:t>
      </w:r>
      <w:proofErr w:type="spellStart"/>
      <w:r w:rsidRPr="001E149E">
        <w:rPr>
          <w:sz w:val="22"/>
          <w:szCs w:val="22"/>
        </w:rPr>
        <w:t>Generalized</w:t>
      </w:r>
      <w:proofErr w:type="spellEnd"/>
      <w:r w:rsidR="000D00C0">
        <w:rPr>
          <w:sz w:val="22"/>
          <w:szCs w:val="22"/>
        </w:rPr>
        <w:t xml:space="preserve"> </w:t>
      </w:r>
      <w:proofErr w:type="spellStart"/>
      <w:r w:rsidRPr="001E149E">
        <w:rPr>
          <w:sz w:val="22"/>
          <w:szCs w:val="22"/>
        </w:rPr>
        <w:t>Linear</w:t>
      </w:r>
      <w:proofErr w:type="spellEnd"/>
      <w:r w:rsidR="000D00C0">
        <w:rPr>
          <w:sz w:val="22"/>
          <w:szCs w:val="22"/>
        </w:rPr>
        <w:t xml:space="preserve"> </w:t>
      </w:r>
      <w:proofErr w:type="spellStart"/>
      <w:r w:rsidR="00B64ED4">
        <w:rPr>
          <w:sz w:val="22"/>
          <w:szCs w:val="22"/>
        </w:rPr>
        <w:t>Models</w:t>
      </w:r>
      <w:proofErr w:type="spellEnd"/>
      <w:r w:rsidR="00B64ED4">
        <w:rPr>
          <w:sz w:val="22"/>
          <w:szCs w:val="22"/>
        </w:rPr>
        <w:t xml:space="preserve">) </w:t>
      </w:r>
      <w:r w:rsidRPr="001E149E">
        <w:rPr>
          <w:sz w:val="22"/>
          <w:szCs w:val="22"/>
        </w:rPr>
        <w:t xml:space="preserve"> binomiale négative impliquant le paramètre de dispersion à estimer. Sous des hypothèses assez faibles, nous montrons que les deux estimateurs proposés sont consistants et asymptotiquement gaussiens sans avoir à spécifier entièrement la distribution conditionnelle du modèle. De plus, sous la fonction de lien GLM binomiale négative, l'estimateur en quatre étapes est asymptotiquement efficace dans la classe de tous les estimateurs du QML appartenant à la famille exponentielle linéaire,</w:t>
      </w:r>
      <w:r w:rsidR="00B64ED4">
        <w:rPr>
          <w:sz w:val="22"/>
          <w:szCs w:val="22"/>
        </w:rPr>
        <w:t xml:space="preserve"> y compris l'estimateur du QML </w:t>
      </w:r>
      <w:proofErr w:type="spellStart"/>
      <w:r w:rsidR="00B64ED4">
        <w:rPr>
          <w:sz w:val="22"/>
          <w:szCs w:val="22"/>
        </w:rPr>
        <w:t>p</w:t>
      </w:r>
      <w:r w:rsidRPr="001E149E">
        <w:rPr>
          <w:sz w:val="22"/>
          <w:szCs w:val="22"/>
        </w:rPr>
        <w:t>oissonien</w:t>
      </w:r>
      <w:proofErr w:type="spellEnd"/>
      <w:r w:rsidRPr="001E149E">
        <w:rPr>
          <w:sz w:val="22"/>
          <w:szCs w:val="22"/>
        </w:rPr>
        <w:t>. Des applications à des séries simulées et réelles montrent la performance des estimateurs proposés que nous comparons entre a</w:t>
      </w:r>
      <w:r w:rsidR="00B64ED4">
        <w:rPr>
          <w:sz w:val="22"/>
          <w:szCs w:val="22"/>
        </w:rPr>
        <w:t xml:space="preserve">utres avec l'estimateur du QML </w:t>
      </w:r>
      <w:proofErr w:type="spellStart"/>
      <w:r w:rsidR="00B64ED4">
        <w:rPr>
          <w:sz w:val="22"/>
          <w:szCs w:val="22"/>
        </w:rPr>
        <w:t>poisson</w:t>
      </w:r>
      <w:r w:rsidRPr="001E149E">
        <w:rPr>
          <w:sz w:val="22"/>
          <w:szCs w:val="22"/>
        </w:rPr>
        <w:t>ien</w:t>
      </w:r>
      <w:proofErr w:type="spellEnd"/>
      <w:r w:rsidRPr="001E149E">
        <w:rPr>
          <w:sz w:val="22"/>
          <w:szCs w:val="22"/>
        </w:rPr>
        <w:t>.</w:t>
      </w:r>
    </w:p>
    <w:p w:rsidR="00223355" w:rsidRDefault="00223355" w:rsidP="00324ADF">
      <w:pPr>
        <w:jc w:val="both"/>
      </w:pPr>
    </w:p>
    <w:bookmarkEnd w:id="0"/>
    <w:p w:rsidR="00B64ED4" w:rsidRDefault="00B64ED4" w:rsidP="00324ADF">
      <w:pPr>
        <w:jc w:val="both"/>
      </w:pPr>
    </w:p>
    <w:sectPr w:rsidR="00B64ED4" w:rsidSect="007A65C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1A3E8D"/>
    <w:rsid w:val="000D00C0"/>
    <w:rsid w:val="001A3E8D"/>
    <w:rsid w:val="00223355"/>
    <w:rsid w:val="00324ADF"/>
    <w:rsid w:val="007A65C5"/>
    <w:rsid w:val="00B64ED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3393E8E-876E-491E-BF5D-00D5232D1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E8D"/>
    <w:pPr>
      <w:spacing w:after="0" w:line="240" w:lineRule="auto"/>
    </w:pPr>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372</Words>
  <Characters>2049</Characters>
  <Application>Microsoft Office Word</Application>
  <DocSecurity>0</DocSecurity>
  <Lines>17</Lines>
  <Paragraphs>4</Paragraphs>
  <ScaleCrop>false</ScaleCrop>
  <Company/>
  <LinksUpToDate>false</LinksUpToDate>
  <CharactersWithSpaces>2417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Hero-Info</dc:creator>
  <cp:lastModifiedBy>naima</cp:lastModifiedBy>
  <cp:revision>5</cp:revision>
  <dcterms:created xsi:type="dcterms:W3CDTF">2018-04-30T10:18:00Z</dcterms:created>
  <dcterms:modified xsi:type="dcterms:W3CDTF">2018-09-30T13:44:00Z</dcterms:modified>
</cp:coreProperties>
</file>