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3DFC" w:rsidRPr="00243DFC" w:rsidRDefault="00243DFC" w:rsidP="00243DFC">
      <w:pPr>
        <w:pStyle w:val="Titre9"/>
        <w:spacing w:after="240"/>
        <w:jc w:val="center"/>
        <w:rPr>
          <w:sz w:val="32"/>
        </w:rPr>
      </w:pPr>
      <w:r w:rsidRPr="00243DFC">
        <w:rPr>
          <w:sz w:val="32"/>
        </w:rPr>
        <w:t>Résumé</w:t>
      </w:r>
    </w:p>
    <w:p w:rsidR="00B65EFF" w:rsidRDefault="00243DFC" w:rsidP="00EC72E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2762D7">
        <w:rPr>
          <w:rFonts w:asciiTheme="majorBidi" w:hAnsiTheme="majorBidi" w:cstheme="majorBidi"/>
        </w:rPr>
        <w:tab/>
      </w:r>
      <w:r w:rsidRPr="00EC72E7">
        <w:rPr>
          <w:rFonts w:ascii="Times New Roman" w:hAnsi="Times New Roman" w:cs="Times New Roman"/>
          <w:sz w:val="23"/>
          <w:szCs w:val="23"/>
        </w:rPr>
        <w:t>La recherche de nouvelles molécules d’intérêt thérapeutique et le développement de</w:t>
      </w:r>
      <w:r w:rsidR="00B65EFF">
        <w:rPr>
          <w:rFonts w:ascii="Times New Roman" w:hAnsi="Times New Roman" w:cs="Times New Roman"/>
          <w:sz w:val="23"/>
          <w:szCs w:val="23"/>
        </w:rPr>
        <w:t xml:space="preserve"> nouvelles méthodes de synthèse,</w:t>
      </w:r>
      <w:r w:rsidRPr="00EC72E7">
        <w:rPr>
          <w:sz w:val="23"/>
          <w:szCs w:val="23"/>
        </w:rPr>
        <w:t xml:space="preserve"> </w:t>
      </w:r>
      <w:r w:rsidRPr="00EC72E7">
        <w:rPr>
          <w:rFonts w:ascii="Times New Roman" w:hAnsi="Times New Roman" w:cs="Times New Roman"/>
          <w:sz w:val="23"/>
          <w:szCs w:val="23"/>
        </w:rPr>
        <w:t xml:space="preserve">à partir de produits de départ facilement disponibles et de conditions de réaction qui réduisent les risques pour l'homme et l'environnement, constituent à juste titre un axe majeur de la recherche en chimie organique. </w:t>
      </w:r>
    </w:p>
    <w:p w:rsidR="00243DFC" w:rsidRPr="00EC72E7" w:rsidRDefault="00243DFC" w:rsidP="00B65EFF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EC72E7">
        <w:rPr>
          <w:rFonts w:asciiTheme="majorBidi" w:hAnsiTheme="majorBidi" w:cstheme="majorBidi"/>
          <w:sz w:val="23"/>
          <w:szCs w:val="23"/>
        </w:rPr>
        <w:t>L</w:t>
      </w:r>
      <w:r w:rsidRPr="00EC72E7">
        <w:rPr>
          <w:rFonts w:ascii="Times New Roman" w:hAnsi="Times New Roman" w:cs="Times New Roman"/>
          <w:sz w:val="23"/>
          <w:szCs w:val="23"/>
        </w:rPr>
        <w:t>’objectif de ce travail consiste à la mise au point d’une méthode,  rapide et efficace, pour  la  synthèse de</w:t>
      </w:r>
      <w:r w:rsidR="00B65EFF">
        <w:rPr>
          <w:rFonts w:ascii="Times New Roman" w:hAnsi="Times New Roman" w:cs="Times New Roman"/>
          <w:sz w:val="23"/>
          <w:szCs w:val="23"/>
        </w:rPr>
        <w:t xml:space="preserve"> nouveaux hétérocycles </w:t>
      </w:r>
      <w:proofErr w:type="spellStart"/>
      <w:r w:rsidR="00B65EFF">
        <w:rPr>
          <w:rFonts w:ascii="Times New Roman" w:hAnsi="Times New Roman" w:cs="Times New Roman"/>
          <w:sz w:val="23"/>
          <w:szCs w:val="23"/>
        </w:rPr>
        <w:t>thiazoliques</w:t>
      </w:r>
      <w:proofErr w:type="spellEnd"/>
      <w:r w:rsidRPr="00EC72E7">
        <w:rPr>
          <w:rFonts w:ascii="Times New Roman" w:hAnsi="Times New Roman" w:cs="Times New Roman"/>
          <w:sz w:val="23"/>
          <w:szCs w:val="23"/>
        </w:rPr>
        <w:t xml:space="preserve">; ainsi l'évaluation de leurs activités antibactérienne et antioxydante. </w:t>
      </w:r>
      <w:r w:rsidRPr="00EC72E7">
        <w:rPr>
          <w:rFonts w:asciiTheme="majorBidi" w:hAnsiTheme="majorBidi" w:cstheme="majorBidi"/>
          <w:sz w:val="23"/>
          <w:szCs w:val="23"/>
        </w:rPr>
        <w:t>Dans cette optique, p</w:t>
      </w:r>
      <w:r w:rsidRPr="00EC72E7">
        <w:rPr>
          <w:rFonts w:ascii="Times New Roman" w:hAnsi="Times New Roman" w:cs="Times New Roman"/>
          <w:sz w:val="23"/>
          <w:szCs w:val="23"/>
        </w:rPr>
        <w:t>our la s</w:t>
      </w:r>
      <w:r w:rsidR="00B65EFF">
        <w:rPr>
          <w:rFonts w:ascii="Times New Roman" w:hAnsi="Times New Roman" w:cs="Times New Roman"/>
          <w:sz w:val="23"/>
          <w:szCs w:val="23"/>
        </w:rPr>
        <w:t xml:space="preserve">ynthèse de ces dérivés </w:t>
      </w:r>
      <w:proofErr w:type="spellStart"/>
      <w:r w:rsidR="00B65EFF">
        <w:rPr>
          <w:rFonts w:ascii="Times New Roman" w:hAnsi="Times New Roman" w:cs="Times New Roman"/>
          <w:sz w:val="23"/>
          <w:szCs w:val="23"/>
        </w:rPr>
        <w:t>thiazoliques</w:t>
      </w:r>
      <w:proofErr w:type="spellEnd"/>
      <w:r w:rsidRPr="00EC72E7">
        <w:rPr>
          <w:rFonts w:ascii="Times New Roman" w:hAnsi="Times New Roman" w:cs="Times New Roman"/>
          <w:sz w:val="23"/>
          <w:szCs w:val="23"/>
        </w:rPr>
        <w:t xml:space="preserve"> nous avons poursuivi les travaux initiés dans notre laboratoire, en essayant d'optimiser les synthèses soit par les méthodes de chauffage conventionnel ou sous irradiation ultrasons, via une réaction multi-composants, en présence de l'acide tungstosilisique supporté sur la silice (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>SiW.SiO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  <w:vertAlign w:val="subscript"/>
        </w:rPr>
        <w:t>2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) </w:t>
      </w:r>
      <w:r w:rsidRPr="00EC72E7">
        <w:rPr>
          <w:rFonts w:ascii="Times New Roman" w:hAnsi="Times New Roman" w:cs="Times New Roman"/>
          <w:sz w:val="23"/>
          <w:szCs w:val="23"/>
        </w:rPr>
        <w:t>comme catalyseur  réutilisable.</w:t>
      </w:r>
    </w:p>
    <w:p w:rsidR="00243DFC" w:rsidRPr="0023654A" w:rsidRDefault="00243DFC" w:rsidP="0023654A">
      <w:pPr>
        <w:pStyle w:val="Default"/>
        <w:spacing w:after="120" w:line="360" w:lineRule="auto"/>
        <w:ind w:firstLine="708"/>
        <w:jc w:val="both"/>
        <w:rPr>
          <w:color w:val="000000" w:themeColor="text1"/>
        </w:rPr>
      </w:pPr>
      <w:r w:rsidRPr="00EC72E7">
        <w:rPr>
          <w:rFonts w:eastAsia="TimesNewRoman"/>
          <w:color w:val="000000" w:themeColor="text1"/>
          <w:sz w:val="23"/>
          <w:szCs w:val="23"/>
        </w:rPr>
        <w:t>Dans un premier temps, nous avons développé une nouvelle</w:t>
      </w:r>
      <w:r w:rsidRPr="00EC72E7">
        <w:rPr>
          <w:color w:val="000000" w:themeColor="text1"/>
          <w:sz w:val="23"/>
          <w:szCs w:val="23"/>
        </w:rPr>
        <w:t xml:space="preserve"> méthode de synthèse sous ultrasons ; simple, efficace, économique et écologiquement propre utilisant le SiW.SiO</w:t>
      </w:r>
      <w:r w:rsidRPr="00EC72E7">
        <w:rPr>
          <w:color w:val="000000" w:themeColor="text1"/>
          <w:sz w:val="23"/>
          <w:szCs w:val="23"/>
          <w:vertAlign w:val="subscript"/>
        </w:rPr>
        <w:t xml:space="preserve">2 </w:t>
      </w:r>
      <w:r w:rsidRPr="00EC72E7">
        <w:rPr>
          <w:color w:val="000000" w:themeColor="text1"/>
          <w:sz w:val="23"/>
          <w:szCs w:val="23"/>
        </w:rPr>
        <w:t>comme</w:t>
      </w:r>
      <w:r w:rsidRPr="00EC72E7">
        <w:rPr>
          <w:color w:val="000000" w:themeColor="text1"/>
          <w:sz w:val="23"/>
          <w:szCs w:val="23"/>
          <w:vertAlign w:val="subscript"/>
        </w:rPr>
        <w:t xml:space="preserve"> </w:t>
      </w:r>
      <w:r w:rsidRPr="00EC72E7">
        <w:rPr>
          <w:color w:val="000000" w:themeColor="text1"/>
          <w:sz w:val="23"/>
          <w:szCs w:val="23"/>
        </w:rPr>
        <w:t xml:space="preserve">catalyseur pour la synthèse des dérivés 2-aminothiazoles </w:t>
      </w:r>
      <w:r w:rsidRPr="00EC72E7">
        <w:rPr>
          <w:rFonts w:eastAsia="TimesNewRoman"/>
          <w:color w:val="000000" w:themeColor="text1"/>
          <w:sz w:val="23"/>
          <w:szCs w:val="23"/>
        </w:rPr>
        <w:t>(</w:t>
      </w:r>
      <w:r w:rsidRPr="00EC72E7">
        <w:rPr>
          <w:rFonts w:eastAsia="TimesNewRoman"/>
          <w:b/>
          <w:color w:val="000000" w:themeColor="text1"/>
          <w:sz w:val="23"/>
          <w:szCs w:val="23"/>
          <w:u w:val="single"/>
        </w:rPr>
        <w:t>3</w:t>
      </w:r>
      <w:r w:rsidRPr="00EC72E7">
        <w:rPr>
          <w:rFonts w:eastAsia="TimesNewRoman"/>
          <w:color w:val="000000" w:themeColor="text1"/>
          <w:sz w:val="23"/>
          <w:szCs w:val="23"/>
        </w:rPr>
        <w:t>-</w:t>
      </w:r>
      <w:r w:rsidRPr="00EC72E7">
        <w:rPr>
          <w:rFonts w:eastAsia="TimesNewRoman"/>
          <w:b/>
          <w:color w:val="000000" w:themeColor="text1"/>
          <w:sz w:val="23"/>
          <w:szCs w:val="23"/>
          <w:u w:val="single"/>
        </w:rPr>
        <w:t>7</w:t>
      </w:r>
      <w:r w:rsidRPr="00EC72E7">
        <w:rPr>
          <w:rFonts w:eastAsia="TimesNewRoman"/>
          <w:color w:val="000000" w:themeColor="text1"/>
          <w:sz w:val="23"/>
          <w:szCs w:val="23"/>
        </w:rPr>
        <w:t>) avec de bons rendements</w:t>
      </w:r>
      <w:r w:rsidRPr="00EC72E7">
        <w:rPr>
          <w:color w:val="000000" w:themeColor="text1"/>
          <w:sz w:val="23"/>
          <w:szCs w:val="23"/>
        </w:rPr>
        <w:t>. Les résultats obtenus nous ont motivés d’</w:t>
      </w:r>
      <w:r w:rsidRPr="00EC72E7">
        <w:rPr>
          <w:rFonts w:eastAsia="TimesNewRoman"/>
          <w:color w:val="000000" w:themeColor="text1"/>
          <w:sz w:val="23"/>
          <w:szCs w:val="23"/>
        </w:rPr>
        <w:t xml:space="preserve">appliquer cette méthode à la synthèse de nouveaux hétérocycles </w:t>
      </w:r>
      <w:proofErr w:type="spellStart"/>
      <w:r w:rsidRPr="00EC72E7">
        <w:rPr>
          <w:rFonts w:eastAsia="TimesNewRoman"/>
          <w:color w:val="000000" w:themeColor="text1"/>
          <w:sz w:val="23"/>
          <w:szCs w:val="23"/>
        </w:rPr>
        <w:t>thiazoliques</w:t>
      </w:r>
      <w:proofErr w:type="spellEnd"/>
      <w:r w:rsidRPr="00EC72E7">
        <w:rPr>
          <w:rFonts w:eastAsia="TimesNewRoman"/>
          <w:color w:val="000000" w:themeColor="text1"/>
          <w:sz w:val="23"/>
          <w:szCs w:val="23"/>
        </w:rPr>
        <w:t xml:space="preserve"> par réactions à séquence classique pour les dérivés (</w:t>
      </w:r>
      <w:r w:rsidRPr="00EC72E7">
        <w:rPr>
          <w:rFonts w:eastAsia="TimesNewRoman"/>
          <w:b/>
          <w:color w:val="000000" w:themeColor="text1"/>
          <w:sz w:val="23"/>
          <w:szCs w:val="23"/>
          <w:u w:val="single"/>
        </w:rPr>
        <w:t>3</w:t>
      </w:r>
      <w:r w:rsidRPr="00EC72E7">
        <w:rPr>
          <w:rFonts w:eastAsia="TimesNewRoman"/>
          <w:color w:val="000000" w:themeColor="text1"/>
          <w:sz w:val="23"/>
          <w:szCs w:val="23"/>
        </w:rPr>
        <w:t>-</w:t>
      </w:r>
      <w:r w:rsidRPr="00EC72E7">
        <w:rPr>
          <w:rFonts w:eastAsia="TimesNewRoman"/>
          <w:b/>
          <w:color w:val="000000" w:themeColor="text1"/>
          <w:sz w:val="23"/>
          <w:szCs w:val="23"/>
          <w:u w:val="single"/>
        </w:rPr>
        <w:t>7</w:t>
      </w:r>
      <w:r w:rsidRPr="00EC72E7">
        <w:rPr>
          <w:rFonts w:eastAsia="TimesNewRoman"/>
          <w:color w:val="000000" w:themeColor="text1"/>
          <w:sz w:val="23"/>
          <w:szCs w:val="23"/>
        </w:rPr>
        <w:t>) et (</w:t>
      </w:r>
      <w:r w:rsidRPr="00EC72E7">
        <w:rPr>
          <w:rFonts w:eastAsia="TimesNewRoman"/>
          <w:b/>
          <w:color w:val="000000" w:themeColor="text1"/>
          <w:sz w:val="23"/>
          <w:szCs w:val="23"/>
          <w:u w:val="single"/>
        </w:rPr>
        <w:t>18</w:t>
      </w:r>
      <w:r w:rsidRPr="00EC72E7">
        <w:rPr>
          <w:rFonts w:eastAsia="TimesNewRoman"/>
          <w:color w:val="000000" w:themeColor="text1"/>
          <w:sz w:val="23"/>
          <w:szCs w:val="23"/>
        </w:rPr>
        <w:t>-</w:t>
      </w:r>
      <w:r w:rsidRPr="00EC72E7">
        <w:rPr>
          <w:rFonts w:eastAsia="TimesNewRoman"/>
          <w:b/>
          <w:color w:val="000000" w:themeColor="text1"/>
          <w:sz w:val="23"/>
          <w:szCs w:val="23"/>
          <w:u w:val="single"/>
        </w:rPr>
        <w:t>19</w:t>
      </w:r>
      <w:r w:rsidRPr="00EC72E7">
        <w:rPr>
          <w:rFonts w:eastAsia="TimesNewRoman"/>
          <w:color w:val="000000" w:themeColor="text1"/>
          <w:sz w:val="23"/>
          <w:szCs w:val="23"/>
        </w:rPr>
        <w:t>) ou par réactions multi-composants pour les dérivés (</w:t>
      </w:r>
      <w:r w:rsidRPr="00EC72E7">
        <w:rPr>
          <w:rFonts w:eastAsia="TimesNewRoman"/>
          <w:b/>
          <w:color w:val="000000" w:themeColor="text1"/>
          <w:sz w:val="23"/>
          <w:szCs w:val="23"/>
          <w:u w:val="single"/>
        </w:rPr>
        <w:t>20</w:t>
      </w:r>
      <w:r w:rsidRPr="00EC72E7">
        <w:rPr>
          <w:rFonts w:eastAsia="TimesNewRoman"/>
          <w:b/>
          <w:color w:val="000000" w:themeColor="text1"/>
          <w:sz w:val="23"/>
          <w:szCs w:val="23"/>
        </w:rPr>
        <w:t>a</w:t>
      </w:r>
      <w:r w:rsidRPr="00EC72E7">
        <w:rPr>
          <w:rFonts w:eastAsia="TimesNewRoman"/>
          <w:color w:val="000000" w:themeColor="text1"/>
          <w:sz w:val="23"/>
          <w:szCs w:val="23"/>
        </w:rPr>
        <w:t>-</w:t>
      </w:r>
      <w:r w:rsidRPr="00EC72E7">
        <w:rPr>
          <w:rFonts w:eastAsia="TimesNewRoman"/>
          <w:b/>
          <w:color w:val="000000" w:themeColor="text1"/>
          <w:sz w:val="23"/>
          <w:szCs w:val="23"/>
        </w:rPr>
        <w:t>j</w:t>
      </w:r>
      <w:r w:rsidRPr="00EC72E7">
        <w:rPr>
          <w:rFonts w:eastAsia="TimesNewRoman"/>
          <w:color w:val="000000" w:themeColor="text1"/>
          <w:sz w:val="23"/>
          <w:szCs w:val="23"/>
        </w:rPr>
        <w:t>).</w:t>
      </w:r>
      <w:r w:rsidR="00B65EFF">
        <w:rPr>
          <w:rFonts w:eastAsia="TimesNewRoman"/>
          <w:color w:val="000000" w:themeColor="text1"/>
          <w:sz w:val="23"/>
          <w:szCs w:val="23"/>
        </w:rPr>
        <w:t xml:space="preserve"> </w:t>
      </w:r>
      <w:r w:rsidR="00B65EFF" w:rsidRPr="00616B8B">
        <w:rPr>
          <w:color w:val="000000" w:themeColor="text1"/>
        </w:rPr>
        <w:t xml:space="preserve">Dans un deuxième temps, nous </w:t>
      </w:r>
      <w:r w:rsidR="0023654A">
        <w:rPr>
          <w:color w:val="000000" w:themeColor="text1"/>
        </w:rPr>
        <w:t>avons étudié</w:t>
      </w:r>
      <w:r w:rsidR="00B65EFF" w:rsidRPr="00616B8B">
        <w:rPr>
          <w:color w:val="000000" w:themeColor="text1"/>
        </w:rPr>
        <w:t xml:space="preserve"> la complexation du </w:t>
      </w:r>
      <w:r w:rsidR="0023654A" w:rsidRPr="00EC72E7">
        <w:rPr>
          <w:color w:val="000000" w:themeColor="text1"/>
          <w:sz w:val="23"/>
          <w:szCs w:val="23"/>
        </w:rPr>
        <w:t>dérivé</w:t>
      </w:r>
      <w:r w:rsidR="0023654A" w:rsidRPr="00616B8B">
        <w:rPr>
          <w:color w:val="000000" w:themeColor="text1"/>
        </w:rPr>
        <w:t xml:space="preserve"> </w:t>
      </w:r>
      <w:r w:rsidR="00B65EFF" w:rsidRPr="00616B8B">
        <w:rPr>
          <w:color w:val="000000" w:themeColor="text1"/>
        </w:rPr>
        <w:t>4-hydroxy-6-methyl-3-(2-[-phenylmethylidene</w:t>
      </w:r>
      <w:proofErr w:type="gramStart"/>
      <w:r w:rsidR="00B65EFF" w:rsidRPr="00616B8B">
        <w:rPr>
          <w:color w:val="000000" w:themeColor="text1"/>
        </w:rPr>
        <w:t>]amino</w:t>
      </w:r>
      <w:proofErr w:type="gramEnd"/>
      <w:r w:rsidR="00B65EFF" w:rsidRPr="00616B8B">
        <w:rPr>
          <w:color w:val="000000" w:themeColor="text1"/>
        </w:rPr>
        <w:t>-1,3-thiazol-4-yl)-2</w:t>
      </w:r>
      <w:r w:rsidR="00B65EFF" w:rsidRPr="00616B8B">
        <w:rPr>
          <w:iCs/>
          <w:color w:val="000000" w:themeColor="text1"/>
        </w:rPr>
        <w:t>H</w:t>
      </w:r>
      <w:r w:rsidR="00B65EFF" w:rsidRPr="00616B8B">
        <w:rPr>
          <w:color w:val="000000" w:themeColor="text1"/>
        </w:rPr>
        <w:t>-pyran-2-one</w:t>
      </w:r>
      <w:r w:rsidR="0023654A">
        <w:rPr>
          <w:color w:val="000000" w:themeColor="text1"/>
        </w:rPr>
        <w:t xml:space="preserve"> (</w:t>
      </w:r>
      <w:r w:rsidR="0023654A" w:rsidRPr="00EC72E7">
        <w:rPr>
          <w:rFonts w:eastAsia="TimesNewRoman"/>
          <w:b/>
          <w:color w:val="000000" w:themeColor="text1"/>
          <w:sz w:val="23"/>
          <w:szCs w:val="23"/>
          <w:u w:val="single"/>
        </w:rPr>
        <w:t>20</w:t>
      </w:r>
      <w:r w:rsidR="0023654A" w:rsidRPr="00EC72E7">
        <w:rPr>
          <w:rFonts w:eastAsia="TimesNewRoman"/>
          <w:b/>
          <w:color w:val="000000" w:themeColor="text1"/>
          <w:sz w:val="23"/>
          <w:szCs w:val="23"/>
        </w:rPr>
        <w:t>a</w:t>
      </w:r>
      <w:r w:rsidR="0023654A">
        <w:rPr>
          <w:rFonts w:eastAsia="TimesNewRoman"/>
          <w:b/>
          <w:color w:val="000000" w:themeColor="text1"/>
          <w:sz w:val="23"/>
          <w:szCs w:val="23"/>
        </w:rPr>
        <w:t>)</w:t>
      </w:r>
      <w:r w:rsidR="00B65EFF" w:rsidRPr="00616B8B">
        <w:rPr>
          <w:color w:val="000000" w:themeColor="text1"/>
        </w:rPr>
        <w:t xml:space="preserve"> </w:t>
      </w:r>
      <w:r w:rsidR="0023654A">
        <w:rPr>
          <w:color w:val="000000" w:themeColor="text1"/>
        </w:rPr>
        <w:t>avec</w:t>
      </w:r>
      <w:r w:rsidR="00B65EFF" w:rsidRPr="00616B8B">
        <w:rPr>
          <w:color w:val="000000" w:themeColor="text1"/>
        </w:rPr>
        <w:t xml:space="preserve"> quatre métaux de transitions.</w:t>
      </w:r>
    </w:p>
    <w:p w:rsidR="00243DFC" w:rsidRPr="00EC72E7" w:rsidRDefault="00243DFC" w:rsidP="00EC72E7">
      <w:pPr>
        <w:spacing w:after="120" w:line="360" w:lineRule="auto"/>
        <w:jc w:val="both"/>
        <w:rPr>
          <w:rFonts w:ascii="Times New Roman" w:hAnsi="Times New Roman" w:cs="Times New Roman"/>
          <w:iCs/>
          <w:color w:val="000000" w:themeColor="text1"/>
          <w:sz w:val="23"/>
          <w:szCs w:val="23"/>
        </w:rPr>
      </w:pP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ab/>
        <w:t xml:space="preserve">Nous avons par la suite évalué </w:t>
      </w:r>
      <w:r w:rsidRPr="00EC72E7">
        <w:rPr>
          <w:rFonts w:ascii="Times New Roman" w:hAnsi="Times New Roman" w:cs="Times New Roman"/>
          <w:i/>
          <w:color w:val="000000" w:themeColor="text1"/>
          <w:sz w:val="23"/>
          <w:szCs w:val="23"/>
        </w:rPr>
        <w:t>in vitro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 la capacité antioxydante des dérivés </w:t>
      </w:r>
      <w:r w:rsidRPr="00EC72E7">
        <w:rPr>
          <w:rFonts w:ascii="Times New Roman" w:eastAsia="TimesNewRoman" w:hAnsi="Times New Roman" w:cs="Times New Roman"/>
          <w:color w:val="000000" w:themeColor="text1"/>
          <w:sz w:val="23"/>
          <w:szCs w:val="23"/>
        </w:rPr>
        <w:t>(</w:t>
      </w:r>
      <w:r w:rsidRPr="00EC72E7">
        <w:rPr>
          <w:rFonts w:ascii="Times New Roman" w:eastAsia="TimesNewRoman" w:hAnsi="Times New Roman" w:cs="Times New Roman"/>
          <w:b/>
          <w:color w:val="000000" w:themeColor="text1"/>
          <w:sz w:val="23"/>
          <w:szCs w:val="23"/>
          <w:u w:val="single"/>
        </w:rPr>
        <w:t>3</w:t>
      </w:r>
      <w:r w:rsidRPr="00EC72E7">
        <w:rPr>
          <w:rFonts w:ascii="Times New Roman" w:eastAsia="TimesNewRoman" w:hAnsi="Times New Roman" w:cs="Times New Roman"/>
          <w:color w:val="000000" w:themeColor="text1"/>
          <w:sz w:val="23"/>
          <w:szCs w:val="23"/>
        </w:rPr>
        <w:t>-</w:t>
      </w:r>
      <w:r w:rsidRPr="00EC72E7">
        <w:rPr>
          <w:rFonts w:ascii="Times New Roman" w:eastAsia="TimesNewRoman" w:hAnsi="Times New Roman" w:cs="Times New Roman"/>
          <w:b/>
          <w:color w:val="000000" w:themeColor="text1"/>
          <w:sz w:val="23"/>
          <w:szCs w:val="23"/>
          <w:u w:val="single"/>
        </w:rPr>
        <w:t>7</w:t>
      </w:r>
      <w:r w:rsidRPr="00EC72E7">
        <w:rPr>
          <w:rFonts w:ascii="Times New Roman" w:eastAsia="TimesNewRoman" w:hAnsi="Times New Roman" w:cs="Times New Roman"/>
          <w:color w:val="000000" w:themeColor="text1"/>
          <w:sz w:val="23"/>
          <w:szCs w:val="23"/>
        </w:rPr>
        <w:t>) et     (</w:t>
      </w:r>
      <w:r w:rsidRPr="00EC72E7">
        <w:rPr>
          <w:rFonts w:ascii="Times New Roman" w:eastAsia="TimesNewRoman" w:hAnsi="Times New Roman" w:cs="Times New Roman"/>
          <w:b/>
          <w:color w:val="000000" w:themeColor="text1"/>
          <w:sz w:val="23"/>
          <w:szCs w:val="23"/>
          <w:u w:val="single"/>
        </w:rPr>
        <w:t>20</w:t>
      </w:r>
      <w:r w:rsidRPr="00EC72E7">
        <w:rPr>
          <w:rFonts w:ascii="Times New Roman" w:eastAsia="TimesNewRoman" w:hAnsi="Times New Roman" w:cs="Times New Roman"/>
          <w:b/>
          <w:color w:val="000000" w:themeColor="text1"/>
          <w:sz w:val="23"/>
          <w:szCs w:val="23"/>
        </w:rPr>
        <w:t>a</w:t>
      </w:r>
      <w:r w:rsidRPr="00EC72E7">
        <w:rPr>
          <w:rFonts w:ascii="Times New Roman" w:eastAsia="TimesNewRoman" w:hAnsi="Times New Roman" w:cs="Times New Roman"/>
          <w:color w:val="000000" w:themeColor="text1"/>
          <w:sz w:val="23"/>
          <w:szCs w:val="23"/>
        </w:rPr>
        <w:t>-</w:t>
      </w:r>
      <w:r w:rsidRPr="00EC72E7">
        <w:rPr>
          <w:rFonts w:ascii="Times New Roman" w:eastAsia="TimesNewRoman" w:hAnsi="Times New Roman" w:cs="Times New Roman"/>
          <w:b/>
          <w:color w:val="000000" w:themeColor="text1"/>
          <w:sz w:val="23"/>
          <w:szCs w:val="23"/>
        </w:rPr>
        <w:t>j</w:t>
      </w:r>
      <w:r w:rsidRPr="00EC72E7">
        <w:rPr>
          <w:rFonts w:ascii="Times New Roman" w:eastAsia="TimesNewRoman" w:hAnsi="Times New Roman" w:cs="Times New Roman"/>
          <w:color w:val="000000" w:themeColor="text1"/>
          <w:sz w:val="23"/>
          <w:szCs w:val="23"/>
        </w:rPr>
        <w:t xml:space="preserve">). 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Nos résultats montrent que l’ensemble des thiazoles synthétisés  présentent une bonne activité antioxydante montrant une activité </w:t>
      </w:r>
      <w:proofErr w:type="spellStart"/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>antiradicalaire</w:t>
      </w:r>
      <w:proofErr w:type="spellEnd"/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 très intéressante vis-à-vis du radical </w:t>
      </w:r>
      <w:r w:rsidRPr="00EC72E7">
        <w:rPr>
          <w:rFonts w:ascii="Times New Roman" w:hAnsi="Times New Roman" w:cs="Times New Roman"/>
          <w:b/>
          <w:color w:val="000000" w:themeColor="text1"/>
          <w:sz w:val="23"/>
          <w:szCs w:val="23"/>
        </w:rPr>
        <w:t>DPPH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 (</w:t>
      </w:r>
      <w:r w:rsidRPr="00EC72E7">
        <w:rPr>
          <w:rFonts w:ascii="Times New Roman" w:hAnsi="Times New Roman" w:cs="Times New Roman"/>
          <w:iCs/>
          <w:color w:val="000000" w:themeColor="text1"/>
          <w:sz w:val="23"/>
          <w:szCs w:val="23"/>
        </w:rPr>
        <w:t>2,2-diphényl-1-picrylhydrazyle),</w:t>
      </w:r>
      <w:r w:rsidRPr="00EC72E7">
        <w:rPr>
          <w:rFonts w:ascii="Times New Roman" w:hAnsi="Times New Roman" w:cs="Times New Roman"/>
          <w:i/>
          <w:iCs/>
          <w:color w:val="000000" w:themeColor="text1"/>
          <w:sz w:val="23"/>
          <w:szCs w:val="23"/>
        </w:rPr>
        <w:t xml:space="preserve"> </w:t>
      </w:r>
      <w:r w:rsidRPr="00EC72E7">
        <w:rPr>
          <w:rFonts w:ascii="Times New Roman" w:hAnsi="Times New Roman" w:cs="Times New Roman"/>
          <w:iCs/>
          <w:color w:val="000000" w:themeColor="text1"/>
          <w:sz w:val="23"/>
          <w:szCs w:val="23"/>
        </w:rPr>
        <w:t xml:space="preserve">comparés au témoin positif </w:t>
      </w:r>
      <w:r w:rsidRPr="00EC72E7">
        <w:rPr>
          <w:rFonts w:ascii="Times New Roman" w:hAnsi="Times New Roman" w:cs="Times New Roman"/>
          <w:b/>
          <w:iCs/>
          <w:color w:val="000000" w:themeColor="text1"/>
          <w:sz w:val="23"/>
          <w:szCs w:val="23"/>
        </w:rPr>
        <w:t xml:space="preserve">BHT </w:t>
      </w:r>
      <w:r w:rsidRPr="00EC72E7">
        <w:rPr>
          <w:rFonts w:ascii="Times New Roman" w:hAnsi="Times New Roman" w:cs="Times New Roman"/>
          <w:iCs/>
          <w:color w:val="000000" w:themeColor="text1"/>
          <w:sz w:val="23"/>
          <w:szCs w:val="23"/>
        </w:rPr>
        <w:t>(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>butylhydroxytoluene)</w:t>
      </w:r>
      <w:r w:rsidRPr="00EC72E7">
        <w:rPr>
          <w:rFonts w:ascii="Times New Roman" w:hAnsi="Times New Roman" w:cs="Times New Roman"/>
          <w:iCs/>
          <w:color w:val="000000" w:themeColor="text1"/>
          <w:sz w:val="23"/>
          <w:szCs w:val="23"/>
        </w:rPr>
        <w:t xml:space="preserve">. </w:t>
      </w:r>
    </w:p>
    <w:p w:rsidR="00243DFC" w:rsidRPr="00EC72E7" w:rsidRDefault="00243DFC" w:rsidP="00EC72E7">
      <w:pPr>
        <w:spacing w:after="12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3"/>
          <w:szCs w:val="23"/>
        </w:rPr>
      </w:pP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Les tests microbiologiques  </w:t>
      </w:r>
      <w:r w:rsidRPr="00EC72E7">
        <w:rPr>
          <w:rFonts w:ascii="Times New Roman" w:hAnsi="Times New Roman" w:cs="Times New Roman"/>
          <w:i/>
          <w:color w:val="000000" w:themeColor="text1"/>
          <w:sz w:val="23"/>
          <w:szCs w:val="23"/>
        </w:rPr>
        <w:t>in vitro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 de ces dérivés sur des souches bactériennes d’intérêt médical (</w:t>
      </w:r>
      <w:r w:rsidRPr="00EC72E7">
        <w:rPr>
          <w:rFonts w:ascii="Times New Roman" w:hAnsi="Times New Roman" w:cs="Times New Roman"/>
          <w:b/>
          <w:i/>
          <w:color w:val="000000" w:themeColor="text1"/>
          <w:sz w:val="23"/>
          <w:szCs w:val="23"/>
        </w:rPr>
        <w:t xml:space="preserve">Escherichia </w:t>
      </w:r>
      <w:r w:rsidRPr="00EC72E7">
        <w:rPr>
          <w:rFonts w:ascii="Times New Roman" w:hAnsi="Times New Roman" w:cs="Times New Roman"/>
          <w:b/>
          <w:color w:val="000000" w:themeColor="text1"/>
          <w:sz w:val="23"/>
          <w:szCs w:val="23"/>
        </w:rPr>
        <w:t xml:space="preserve">  </w:t>
      </w:r>
      <w:r w:rsidRPr="00EC72E7">
        <w:rPr>
          <w:rFonts w:ascii="Times New Roman" w:hAnsi="Times New Roman" w:cs="Times New Roman"/>
          <w:b/>
          <w:i/>
          <w:color w:val="000000" w:themeColor="text1"/>
          <w:sz w:val="23"/>
          <w:szCs w:val="23"/>
        </w:rPr>
        <w:t>coli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, </w:t>
      </w:r>
      <w:r w:rsidRPr="00EC72E7">
        <w:rPr>
          <w:rFonts w:ascii="Times New Roman" w:hAnsi="Times New Roman" w:cs="Times New Roman"/>
          <w:b/>
          <w:i/>
          <w:color w:val="000000" w:themeColor="text1"/>
          <w:sz w:val="23"/>
          <w:szCs w:val="23"/>
        </w:rPr>
        <w:t xml:space="preserve">Pseudomonas </w:t>
      </w:r>
      <w:proofErr w:type="spellStart"/>
      <w:r w:rsidRPr="00EC72E7">
        <w:rPr>
          <w:rFonts w:ascii="Times New Roman" w:hAnsi="Times New Roman" w:cs="Times New Roman"/>
          <w:b/>
          <w:i/>
          <w:color w:val="000000" w:themeColor="text1"/>
          <w:sz w:val="23"/>
          <w:szCs w:val="23"/>
        </w:rPr>
        <w:t>aeruginosa</w:t>
      </w:r>
      <w:proofErr w:type="spellEnd"/>
      <w:r w:rsidRPr="00EC72E7">
        <w:rPr>
          <w:rFonts w:ascii="Times New Roman" w:hAnsi="Times New Roman" w:cs="Times New Roman"/>
          <w:b/>
          <w:i/>
          <w:color w:val="000000" w:themeColor="text1"/>
          <w:sz w:val="23"/>
          <w:szCs w:val="23"/>
        </w:rPr>
        <w:t xml:space="preserve"> 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et </w:t>
      </w:r>
      <w:r w:rsidRPr="00EC72E7">
        <w:rPr>
          <w:rFonts w:ascii="Times New Roman" w:hAnsi="Times New Roman" w:cs="Times New Roman"/>
          <w:b/>
          <w:i/>
          <w:color w:val="000000" w:themeColor="text1"/>
          <w:sz w:val="23"/>
          <w:szCs w:val="23"/>
        </w:rPr>
        <w:t>Staphylococcus aureus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) ont permis de mettre en évidence une activité antibactérienne d’intensité variable selon la structure et les souches étudiées, </w:t>
      </w:r>
      <w:r w:rsidRPr="00EC72E7">
        <w:rPr>
          <w:rFonts w:ascii="Times New Roman" w:hAnsi="Times New Roman" w:cs="Times New Roman"/>
          <w:iCs/>
          <w:color w:val="000000" w:themeColor="text1"/>
          <w:sz w:val="23"/>
          <w:szCs w:val="23"/>
        </w:rPr>
        <w:t xml:space="preserve">comparés aux 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>antibiotiques standards (</w:t>
      </w:r>
      <w:r w:rsidRPr="00EC72E7">
        <w:rPr>
          <w:rFonts w:ascii="Times New Roman" w:hAnsi="Times New Roman" w:cs="Times New Roman"/>
          <w:b/>
          <w:color w:val="000000" w:themeColor="text1"/>
          <w:sz w:val="23"/>
          <w:szCs w:val="23"/>
        </w:rPr>
        <w:t>Amoxicilline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 xml:space="preserve"> et </w:t>
      </w:r>
      <w:r w:rsidRPr="00EC72E7">
        <w:rPr>
          <w:rFonts w:ascii="Times New Roman" w:hAnsi="Times New Roman" w:cs="Times New Roman"/>
          <w:b/>
          <w:color w:val="000000" w:themeColor="text1"/>
          <w:sz w:val="23"/>
          <w:szCs w:val="23"/>
        </w:rPr>
        <w:t>Ciprofloxacine</w:t>
      </w:r>
      <w:r w:rsidRPr="00EC72E7">
        <w:rPr>
          <w:rFonts w:ascii="Times New Roman" w:hAnsi="Times New Roman" w:cs="Times New Roman"/>
          <w:color w:val="000000" w:themeColor="text1"/>
          <w:sz w:val="23"/>
          <w:szCs w:val="23"/>
        </w:rPr>
        <w:t>).</w:t>
      </w:r>
    </w:p>
    <w:p w:rsidR="00243DFC" w:rsidRPr="00EC72E7" w:rsidRDefault="00243DFC" w:rsidP="00EC72E7">
      <w:pPr>
        <w:spacing w:after="12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3"/>
          <w:szCs w:val="23"/>
        </w:rPr>
      </w:pPr>
      <w:bookmarkStart w:id="0" w:name="_GoBack"/>
      <w:bookmarkEnd w:id="0"/>
    </w:p>
    <w:sectPr w:rsidR="00243DFC" w:rsidRPr="00EC72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F5B41F9"/>
    <w:multiLevelType w:val="hybridMultilevel"/>
    <w:tmpl w:val="4F1EC2EA"/>
    <w:lvl w:ilvl="0" w:tplc="040C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DFC"/>
    <w:rsid w:val="00004BEE"/>
    <w:rsid w:val="0023654A"/>
    <w:rsid w:val="00243DFC"/>
    <w:rsid w:val="004843DA"/>
    <w:rsid w:val="00B65EFF"/>
    <w:rsid w:val="00EC7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863638-229E-4DBC-833B-BF2EAB68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3DFC"/>
    <w:rPr>
      <w:rFonts w:eastAsiaTheme="minorEastAsia"/>
      <w:lang w:eastAsia="fr-FR"/>
    </w:rPr>
  </w:style>
  <w:style w:type="paragraph" w:styleId="Titre9">
    <w:name w:val="heading 9"/>
    <w:basedOn w:val="Normal"/>
    <w:next w:val="Normal"/>
    <w:link w:val="Titre9Car"/>
    <w:qFormat/>
    <w:rsid w:val="00243DFC"/>
    <w:pPr>
      <w:keepNext/>
      <w:spacing w:after="0" w:line="240" w:lineRule="auto"/>
      <w:ind w:firstLine="360"/>
      <w:jc w:val="both"/>
      <w:outlineLvl w:val="8"/>
    </w:pPr>
    <w:rPr>
      <w:rFonts w:ascii="Times New Roman" w:eastAsia="Times New Roman" w:hAnsi="Times New Roman" w:cs="Times New Roman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9Car">
    <w:name w:val="Titre 9 Car"/>
    <w:basedOn w:val="Policepardfaut"/>
    <w:link w:val="Titre9"/>
    <w:rsid w:val="00243DFC"/>
    <w:rPr>
      <w:rFonts w:ascii="Times New Roman" w:eastAsia="Times New Roman" w:hAnsi="Times New Roman" w:cs="Times New Roman"/>
      <w:b/>
      <w:bCs/>
      <w:lang w:eastAsia="fr-FR"/>
    </w:rPr>
  </w:style>
  <w:style w:type="paragraph" w:customStyle="1" w:styleId="Default">
    <w:name w:val="Default"/>
    <w:rsid w:val="00B65EF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369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</dc:creator>
  <cp:lastModifiedBy>naima</cp:lastModifiedBy>
  <cp:revision>5</cp:revision>
  <dcterms:created xsi:type="dcterms:W3CDTF">2017-11-21T20:38:00Z</dcterms:created>
  <dcterms:modified xsi:type="dcterms:W3CDTF">2018-02-28T13:55:00Z</dcterms:modified>
</cp:coreProperties>
</file>