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6EB9" w:rsidRDefault="007C6EB9" w:rsidP="00E446EF">
      <w:pPr>
        <w:pStyle w:val="NormalWeb"/>
        <w:rPr>
          <w:b/>
          <w:bCs/>
          <w:color w:val="000000"/>
          <w:sz w:val="27"/>
          <w:szCs w:val="27"/>
        </w:rPr>
      </w:pPr>
    </w:p>
    <w:p w:rsidR="007C6EB9" w:rsidRDefault="007C6EB9" w:rsidP="00E446EF">
      <w:pPr>
        <w:pStyle w:val="NormalWeb"/>
        <w:rPr>
          <w:b/>
          <w:bCs/>
          <w:color w:val="000000"/>
          <w:sz w:val="27"/>
          <w:szCs w:val="27"/>
        </w:rPr>
      </w:pPr>
    </w:p>
    <w:p w:rsidR="007C6EB9" w:rsidRDefault="007C6EB9" w:rsidP="00E446EF">
      <w:pPr>
        <w:pStyle w:val="NormalWeb"/>
        <w:rPr>
          <w:b/>
          <w:bCs/>
          <w:color w:val="000000"/>
          <w:sz w:val="27"/>
          <w:szCs w:val="27"/>
        </w:rPr>
      </w:pPr>
    </w:p>
    <w:p w:rsidR="007C6EB9" w:rsidRDefault="007C6EB9" w:rsidP="00E446EF">
      <w:pPr>
        <w:pStyle w:val="NormalWeb"/>
        <w:rPr>
          <w:b/>
          <w:bCs/>
          <w:color w:val="000000"/>
          <w:sz w:val="27"/>
          <w:szCs w:val="27"/>
        </w:rPr>
      </w:pPr>
    </w:p>
    <w:p w:rsidR="00E446EF" w:rsidRDefault="00E446EF" w:rsidP="00E446EF">
      <w:pPr>
        <w:pStyle w:val="NormalWeb"/>
        <w:rPr>
          <w:b/>
          <w:bCs/>
          <w:color w:val="000000"/>
          <w:sz w:val="27"/>
          <w:szCs w:val="27"/>
        </w:rPr>
      </w:pPr>
      <w:bookmarkStart w:id="0" w:name="_GoBack"/>
      <w:bookmarkEnd w:id="0"/>
      <w:r>
        <w:rPr>
          <w:b/>
          <w:bCs/>
          <w:color w:val="000000"/>
          <w:sz w:val="27"/>
          <w:szCs w:val="27"/>
        </w:rPr>
        <w:t>Résumé</w:t>
      </w:r>
    </w:p>
    <w:p w:rsidR="00E446EF" w:rsidRDefault="00E446EF" w:rsidP="00E446EF">
      <w:pPr>
        <w:pStyle w:val="NormalWeb"/>
        <w:rPr>
          <w:color w:val="000000"/>
          <w:sz w:val="27"/>
          <w:szCs w:val="27"/>
        </w:rPr>
      </w:pPr>
      <w:r>
        <w:rPr>
          <w:color w:val="000000"/>
          <w:sz w:val="27"/>
          <w:szCs w:val="27"/>
        </w:rPr>
        <w:t xml:space="preserve">La zéolithe </w:t>
      </w:r>
      <w:proofErr w:type="spellStart"/>
      <w:r>
        <w:rPr>
          <w:color w:val="000000"/>
          <w:sz w:val="27"/>
          <w:szCs w:val="27"/>
        </w:rPr>
        <w:t>cancrinite</w:t>
      </w:r>
      <w:proofErr w:type="spellEnd"/>
      <w:r>
        <w:rPr>
          <w:color w:val="000000"/>
          <w:sz w:val="27"/>
          <w:szCs w:val="27"/>
        </w:rPr>
        <w:t xml:space="preserve"> a été synthétisée par voie hydrothermale en utilisant deux procédés, le premier à partir d’un gel amorphe de composition 93 Na2O Al2O3 SiO2 NaHCO3 1386 H2O, en utilisant l’</w:t>
      </w:r>
      <w:proofErr w:type="spellStart"/>
      <w:r>
        <w:rPr>
          <w:color w:val="000000"/>
          <w:sz w:val="27"/>
          <w:szCs w:val="27"/>
        </w:rPr>
        <w:t>aérosil</w:t>
      </w:r>
      <w:proofErr w:type="spellEnd"/>
      <w:r>
        <w:rPr>
          <w:color w:val="000000"/>
          <w:sz w:val="27"/>
          <w:szCs w:val="27"/>
        </w:rPr>
        <w:t xml:space="preserve"> 200 comme source de silicium, la </w:t>
      </w:r>
      <w:proofErr w:type="spellStart"/>
      <w:r>
        <w:rPr>
          <w:color w:val="000000"/>
          <w:sz w:val="27"/>
          <w:szCs w:val="27"/>
        </w:rPr>
        <w:t>catapal</w:t>
      </w:r>
      <w:proofErr w:type="spellEnd"/>
      <w:r>
        <w:rPr>
          <w:color w:val="000000"/>
          <w:sz w:val="27"/>
          <w:szCs w:val="27"/>
        </w:rPr>
        <w:t xml:space="preserve"> B comme source d’aluminium et d’hydroxyde de sodium et du carbonate de sodium. Le deuxième procédé employé comme source de silicium et aluminium l’argile telle que la kaolinite et de la soude.</w:t>
      </w:r>
    </w:p>
    <w:p w:rsidR="00E446EF" w:rsidRDefault="00E446EF" w:rsidP="00E446EF">
      <w:pPr>
        <w:pStyle w:val="NormalWeb"/>
        <w:rPr>
          <w:color w:val="000000"/>
          <w:sz w:val="27"/>
          <w:szCs w:val="27"/>
        </w:rPr>
      </w:pPr>
      <w:r>
        <w:rPr>
          <w:color w:val="000000"/>
          <w:sz w:val="27"/>
          <w:szCs w:val="27"/>
        </w:rPr>
        <w:t>L’identification des différents matériaux élaborés a été réalisée par différentes techniques analytiques telles que la Diffraction des rayons X (DRX), la microscope optique, la Microscope électronique à balayage (MEB), l’analyse thermique gravimétrique et différentielle (ATD/TG), la spectroscopie infra rouge, l’isotherme d’absorption d'azote et le calcul de la surface spécifique par BET.…etc.</w:t>
      </w:r>
    </w:p>
    <w:p w:rsidR="00E446EF" w:rsidRDefault="00E446EF" w:rsidP="00E446EF">
      <w:pPr>
        <w:pStyle w:val="NormalWeb"/>
        <w:rPr>
          <w:color w:val="000000"/>
          <w:sz w:val="27"/>
          <w:szCs w:val="27"/>
        </w:rPr>
      </w:pPr>
      <w:r>
        <w:rPr>
          <w:color w:val="000000"/>
          <w:sz w:val="27"/>
          <w:szCs w:val="27"/>
        </w:rPr>
        <w:t xml:space="preserve">Le matériau </w:t>
      </w:r>
      <w:proofErr w:type="spellStart"/>
      <w:r>
        <w:rPr>
          <w:color w:val="000000"/>
          <w:sz w:val="27"/>
          <w:szCs w:val="27"/>
        </w:rPr>
        <w:t>cancrinite</w:t>
      </w:r>
      <w:proofErr w:type="spellEnd"/>
      <w:r>
        <w:rPr>
          <w:color w:val="000000"/>
          <w:sz w:val="27"/>
          <w:szCs w:val="27"/>
        </w:rPr>
        <w:t xml:space="preserve"> bien cristallisé a été obtenu pour un temps de cristallisation de 48 heures et une température de 200°C sous pression autogène en utilisant le procédé II avec le </w:t>
      </w:r>
      <w:proofErr w:type="spellStart"/>
      <w:r>
        <w:rPr>
          <w:color w:val="000000"/>
          <w:sz w:val="27"/>
          <w:szCs w:val="27"/>
        </w:rPr>
        <w:t>métakaolin</w:t>
      </w:r>
      <w:proofErr w:type="spellEnd"/>
      <w:r>
        <w:rPr>
          <w:color w:val="000000"/>
          <w:sz w:val="27"/>
          <w:szCs w:val="27"/>
        </w:rPr>
        <w:t xml:space="preserve"> et la présence de KNO3.</w:t>
      </w:r>
    </w:p>
    <w:p w:rsidR="001C4B32" w:rsidRDefault="007C6EB9"/>
    <w:sectPr w:rsidR="001C4B3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6EF"/>
    <w:rsid w:val="007C6EB9"/>
    <w:rsid w:val="00882610"/>
    <w:rsid w:val="00E446EF"/>
    <w:rsid w:val="00F0616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AA7EE3-5D24-4E0C-B4F7-375B0E151A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E446EF"/>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7510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163</Words>
  <Characters>902</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Uesr</dc:creator>
  <cp:keywords/>
  <dc:description/>
  <cp:lastModifiedBy>naima</cp:lastModifiedBy>
  <cp:revision>3</cp:revision>
  <dcterms:created xsi:type="dcterms:W3CDTF">2017-12-04T07:29:00Z</dcterms:created>
  <dcterms:modified xsi:type="dcterms:W3CDTF">2018-06-20T14:34:00Z</dcterms:modified>
</cp:coreProperties>
</file>