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FC4" w:rsidRPr="00D72FC4" w:rsidRDefault="00D72FC4" w:rsidP="00D72FC4">
      <w:pPr>
        <w:bidi w:val="0"/>
        <w:rPr>
          <w:rtl/>
          <w:lang w:val="fr-FR" w:bidi="ar-DZ"/>
        </w:rPr>
      </w:pPr>
    </w:p>
    <w:p w:rsidR="00D72FC4" w:rsidRDefault="00D72FC4" w:rsidP="00D72FC4">
      <w:pPr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D72FC4" w:rsidRDefault="00D72FC4" w:rsidP="00D72FC4">
      <w:pPr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</w:p>
    <w:p w:rsidR="00CE489E" w:rsidRPr="00D72FC4" w:rsidRDefault="00D72FC4" w:rsidP="00156299">
      <w:pPr>
        <w:bidi w:val="0"/>
        <w:jc w:val="both"/>
        <w:rPr>
          <w:rFonts w:asciiTheme="majorBidi" w:hAnsiTheme="majorBidi" w:cstheme="majorBidi"/>
          <w:sz w:val="24"/>
          <w:szCs w:val="24"/>
          <w:lang w:val="fr-FR" w:bidi="ar-DZ"/>
        </w:rPr>
      </w:pPr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La recherche de catalyseurs plus performants, plus disponibles et de moindre coût nous a conduit à l'étude de la réaction de reformage du méthane par le dioxyde de carbone en présence de catalyseurs à base de nickel déposé sur l'alumine-a et modifiés  par  des  ajouts  métalliques  (Co,  Ce,  </w:t>
      </w:r>
      <w:proofErr w:type="spell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Cu,Fe</w:t>
      </w:r>
      <w:proofErr w:type="spellEnd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),  dans  un  domaine  de température de 550 à 730 oc à la pression atmosphérique. Dans ce </w:t>
      </w:r>
      <w:proofErr w:type="gram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travail ,</w:t>
      </w:r>
      <w:proofErr w:type="gramEnd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 nous exposerons  au  chapitre  1  l'étude  bibliographique.  Le   chapitre   II,   traite   des différentes techniques expérimentales </w:t>
      </w:r>
      <w:proofErr w:type="gram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utilisées .</w:t>
      </w:r>
      <w:proofErr w:type="gramEnd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  Le  chapi</w:t>
      </w:r>
      <w:r w:rsidR="00156299">
        <w:rPr>
          <w:rFonts w:asciiTheme="majorBidi" w:hAnsiTheme="majorBidi" w:cstheme="majorBidi"/>
          <w:sz w:val="24"/>
          <w:szCs w:val="24"/>
          <w:lang w:val="fr-FR" w:bidi="ar-DZ"/>
        </w:rPr>
        <w:t>tre  III  sera  consacré  à  la</w:t>
      </w:r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 mise  en  </w:t>
      </w:r>
      <w:proofErr w:type="spell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oeuvre</w:t>
      </w:r>
      <w:proofErr w:type="spellEnd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  du  test  </w:t>
      </w:r>
      <w:proofErr w:type="spell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catéllytique</w:t>
      </w:r>
      <w:proofErr w:type="spellEnd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.  </w:t>
      </w:r>
      <w:proofErr w:type="gram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la</w:t>
      </w:r>
      <w:proofErr w:type="gramEnd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 préparation  des catalyseurs  et leur caractérisation sera traitée au le chapitre IV. Au chapitre V nous rapporterons  les résultats de l'étude de la réaction CH4+  C02 ,  ainsi  que  la  contribution  de  la réaction inverse du gaz à l'eau (C02  + H2 )  dans  le </w:t>
      </w:r>
      <w:proofErr w:type="spell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réformage</w:t>
      </w:r>
      <w:proofErr w:type="spellEnd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  sec du méthane . Nous exposons au chapitre VI  les  résultats  d'activités  catalytiques  obtenus  après  une phase de </w:t>
      </w:r>
      <w:r w:rsidR="00156299">
        <w:rPr>
          <w:rFonts w:asciiTheme="majorBidi" w:hAnsiTheme="majorBidi" w:cstheme="majorBidi"/>
          <w:sz w:val="24"/>
          <w:szCs w:val="24"/>
          <w:lang w:val="fr-FR" w:bidi="ar-DZ"/>
        </w:rPr>
        <w:t>vieilli</w:t>
      </w:r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 xml:space="preserve">ssement -  régénération  provoquée .  Nous  terminerons  par  une discussion et une </w:t>
      </w:r>
      <w:proofErr w:type="gramStart"/>
      <w:r w:rsidRPr="00D72FC4">
        <w:rPr>
          <w:rFonts w:asciiTheme="majorBidi" w:hAnsiTheme="majorBidi" w:cstheme="majorBidi"/>
          <w:sz w:val="24"/>
          <w:szCs w:val="24"/>
          <w:lang w:val="fr-FR" w:bidi="ar-DZ"/>
        </w:rPr>
        <w:t>conclusion .</w:t>
      </w:r>
      <w:proofErr w:type="gramEnd"/>
    </w:p>
    <w:sectPr w:rsidR="00CE489E" w:rsidRPr="00D72FC4" w:rsidSect="00F1037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D72FC4"/>
    <w:rsid w:val="00156299"/>
    <w:rsid w:val="00CE489E"/>
    <w:rsid w:val="00D72FC4"/>
    <w:rsid w:val="00F10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89E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amelle</dc:creator>
  <cp:lastModifiedBy>amelle</cp:lastModifiedBy>
  <cp:revision>2</cp:revision>
  <dcterms:created xsi:type="dcterms:W3CDTF">2017-01-12T09:07:00Z</dcterms:created>
  <dcterms:modified xsi:type="dcterms:W3CDTF">2017-01-12T09:27:00Z</dcterms:modified>
</cp:coreProperties>
</file>