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4D9" w:rsidRPr="00AC365D" w:rsidRDefault="00AC365D" w:rsidP="003364D9">
      <w:pPr>
        <w:autoSpaceDE w:val="0"/>
        <w:autoSpaceDN w:val="0"/>
        <w:adjustRightInd w:val="0"/>
        <w:ind w:right="-468"/>
        <w:jc w:val="both"/>
        <w:rPr>
          <w:lang w:val="en-GB"/>
        </w:rPr>
      </w:pPr>
      <w:r>
        <w:rPr>
          <w:rFonts w:ascii="TimesNewRomanPS-BoldMT" w:eastAsia="Batang" w:cs="TimesNewRomanPS-BoldMT"/>
          <w:sz w:val="32"/>
          <w:szCs w:val="32"/>
          <w:lang w:val="en-US" w:eastAsia="ko-KR"/>
        </w:rPr>
        <w:t xml:space="preserve">  </w:t>
      </w:r>
      <w:proofErr w:type="gramStart"/>
      <w:r w:rsidR="003364D9" w:rsidRPr="00AC365D">
        <w:rPr>
          <w:rFonts w:ascii="TimesNewRomanPS-BoldMT" w:eastAsia="Batang" w:cs="TimesNewRomanPS-BoldMT" w:hint="cs"/>
          <w:sz w:val="32"/>
          <w:szCs w:val="32"/>
          <w:u w:val="single"/>
          <w:rtl/>
          <w:lang w:eastAsia="ko-KR"/>
        </w:rPr>
        <w:t>ملخص</w:t>
      </w:r>
      <w:proofErr w:type="gramEnd"/>
      <w:r w:rsidR="003364D9" w:rsidRPr="00AC365D">
        <w:rPr>
          <w:rFonts w:ascii="TimesNewRomanPS-BoldMT" w:eastAsia="Batang" w:cs="TimesNewRomanPS-BoldMT" w:hint="cs"/>
          <w:b/>
          <w:bCs/>
          <w:sz w:val="32"/>
          <w:szCs w:val="32"/>
          <w:rtl/>
          <w:lang w:eastAsia="ko-KR"/>
        </w:rPr>
        <w:t> </w:t>
      </w:r>
      <w:r w:rsidR="003364D9" w:rsidRPr="00AC365D">
        <w:rPr>
          <w:rFonts w:cs="Arabic11 BT" w:hint="cs"/>
          <w:rtl/>
          <w:lang w:bidi="ar-DZ"/>
        </w:rPr>
        <w:t>:</w:t>
      </w:r>
      <w:r w:rsidRPr="00AC365D">
        <w:rPr>
          <w:rFonts w:cs="Arabic11 BT"/>
          <w:rtl/>
          <w:lang w:bidi="ar-DZ"/>
        </w:rPr>
        <w:t xml:space="preserve"> </w:t>
      </w:r>
      <w:r w:rsidR="003364D9" w:rsidRPr="00AC365D">
        <w:rPr>
          <w:rFonts w:cs="Arabic11 BT"/>
          <w:rtl/>
          <w:lang w:bidi="ar-DZ"/>
        </w:rPr>
        <w:t xml:space="preserve">                                                                                                                                        </w:t>
      </w:r>
      <w:r w:rsidR="003364D9" w:rsidRPr="00AC365D">
        <w:rPr>
          <w:rFonts w:ascii="TimesNewRomanPS-BoldMT" w:eastAsia="Batang" w:cs="TimesNewRomanPS-BoldMT" w:hint="cs"/>
          <w:b/>
          <w:bCs/>
          <w:sz w:val="32"/>
          <w:szCs w:val="32"/>
          <w:rtl/>
          <w:lang w:eastAsia="ko-KR"/>
        </w:rPr>
        <w:t> </w:t>
      </w:r>
    </w:p>
    <w:p w:rsidR="004B0792" w:rsidRDefault="003364D9" w:rsidP="00D10782">
      <w:pPr>
        <w:bidi/>
        <w:ind w:left="-288" w:right="-180"/>
        <w:jc w:val="both"/>
        <w:rPr>
          <w:rFonts w:cs="Arabic11 BT"/>
          <w:sz w:val="20"/>
          <w:szCs w:val="20"/>
          <w:lang w:val="en-GB" w:bidi="ar-DZ"/>
        </w:rPr>
      </w:pPr>
      <w:r w:rsidRPr="007C59F0">
        <w:rPr>
          <w:rFonts w:cs="Arabic11 BT" w:hint="cs"/>
          <w:rtl/>
          <w:lang w:bidi="ar-DZ"/>
        </w:rPr>
        <w:t>أمرا</w:t>
      </w:r>
      <w:r w:rsidRPr="007C59F0">
        <w:rPr>
          <w:rFonts w:cs="Arabic11 BT" w:hint="eastAsia"/>
          <w:rtl/>
          <w:lang w:bidi="ar-DZ"/>
        </w:rPr>
        <w:t>ض</w:t>
      </w:r>
      <w:r w:rsidRPr="007C59F0">
        <w:rPr>
          <w:rFonts w:cs="Arabic11 BT" w:hint="cs"/>
          <w:rtl/>
          <w:lang w:bidi="ar-DZ"/>
        </w:rPr>
        <w:t xml:space="preserve"> التهاب الأمعاء المزمنة هي عبارة عن إصابات ناتجة </w:t>
      </w:r>
      <w:r>
        <w:rPr>
          <w:rFonts w:cs="Arabic11 BT" w:hint="cs"/>
          <w:rtl/>
          <w:lang w:bidi="ar-DZ"/>
        </w:rPr>
        <w:t>ع</w:t>
      </w:r>
      <w:r w:rsidRPr="007C59F0">
        <w:rPr>
          <w:rFonts w:cs="Arabic11 BT" w:hint="cs"/>
          <w:rtl/>
          <w:lang w:bidi="ar-DZ"/>
        </w:rPr>
        <w:t xml:space="preserve">ن التهاب </w:t>
      </w:r>
      <w:proofErr w:type="gramStart"/>
      <w:r w:rsidRPr="007C59F0">
        <w:rPr>
          <w:rFonts w:cs="Arabic11 BT" w:hint="cs"/>
          <w:rtl/>
          <w:lang w:bidi="ar-DZ"/>
        </w:rPr>
        <w:t>مزمن ،</w:t>
      </w:r>
      <w:proofErr w:type="gramEnd"/>
      <w:r w:rsidRPr="007C59F0">
        <w:rPr>
          <w:rFonts w:cs="Arabic11 BT" w:hint="cs"/>
          <w:rtl/>
          <w:lang w:bidi="ar-DZ"/>
        </w:rPr>
        <w:t xml:space="preserve">قد يكون متقطع أو متواصل لموقع من الجدار المعوي و هي مرتبطة بخلل مناعي حاد.  هذه الأمراض تضم إصابتان رئيسيتان : مرض </w:t>
      </w:r>
      <w:proofErr w:type="spellStart"/>
      <w:r w:rsidRPr="007C59F0">
        <w:rPr>
          <w:rFonts w:cs="Arabic11 BT" w:hint="cs"/>
          <w:rtl/>
          <w:lang w:bidi="ar-DZ"/>
        </w:rPr>
        <w:t>ك</w:t>
      </w:r>
      <w:r w:rsidR="004B0792">
        <w:rPr>
          <w:rFonts w:cs="Arabic11 BT" w:hint="cs"/>
          <w:rtl/>
          <w:lang w:bidi="ar-DZ"/>
        </w:rPr>
        <w:t>رون</w:t>
      </w:r>
      <w:proofErr w:type="spellEnd"/>
      <w:r w:rsidR="004B0792">
        <w:rPr>
          <w:rFonts w:cs="Arabic11 BT" w:hint="cs"/>
          <w:rtl/>
          <w:lang w:bidi="ar-DZ"/>
        </w:rPr>
        <w:t xml:space="preserve"> و التهاب الشرج </w:t>
      </w:r>
      <w:proofErr w:type="spellStart"/>
      <w:r w:rsidR="004B0792">
        <w:rPr>
          <w:rFonts w:cs="Arabic11 BT" w:hint="cs"/>
          <w:rtl/>
          <w:lang w:bidi="ar-DZ"/>
        </w:rPr>
        <w:t>النزيفي</w:t>
      </w:r>
      <w:proofErr w:type="spellEnd"/>
      <w:r w:rsidR="004B0792">
        <w:rPr>
          <w:rFonts w:cs="Arabic11 BT" w:hint="cs"/>
          <w:rtl/>
          <w:lang w:bidi="ar-DZ"/>
        </w:rPr>
        <w:t xml:space="preserve"> .</w:t>
      </w:r>
      <w:r w:rsidRPr="007C59F0">
        <w:rPr>
          <w:rFonts w:cs="Arabic11 BT" w:hint="cs"/>
          <w:rtl/>
          <w:lang w:bidi="ar-DZ"/>
        </w:rPr>
        <w:t xml:space="preserve"> الانحرافات المناعية الذاتي</w:t>
      </w:r>
      <w:r w:rsidRPr="007C59F0">
        <w:rPr>
          <w:rFonts w:cs="Arabic11 BT" w:hint="eastAsia"/>
          <w:rtl/>
          <w:lang w:bidi="ar-DZ"/>
        </w:rPr>
        <w:t>ة</w:t>
      </w:r>
      <w:r w:rsidRPr="007C59F0">
        <w:rPr>
          <w:rFonts w:cs="Arabic11 BT" w:hint="cs"/>
          <w:rtl/>
          <w:lang w:bidi="ar-DZ"/>
        </w:rPr>
        <w:t xml:space="preserve"> المرتبطة بهذه الأمراض هي نتاج عدم التوازن في طرق التنظيم </w:t>
      </w:r>
      <w:proofErr w:type="gramStart"/>
      <w:r w:rsidRPr="007C59F0">
        <w:rPr>
          <w:rFonts w:cs="Arabic11 BT" w:hint="cs"/>
          <w:rtl/>
          <w:lang w:bidi="ar-DZ"/>
        </w:rPr>
        <w:t xml:space="preserve">المناعي </w:t>
      </w:r>
      <w:r>
        <w:rPr>
          <w:rFonts w:cs="Arabic11 BT" w:hint="cs"/>
          <w:rtl/>
          <w:lang w:bidi="ar-DZ"/>
        </w:rPr>
        <w:t xml:space="preserve"> </w:t>
      </w:r>
      <w:proofErr w:type="spellStart"/>
      <w:r w:rsidRPr="000B62AC">
        <w:rPr>
          <w:rFonts w:cs="Arabic11 BT"/>
          <w:sz w:val="20"/>
          <w:szCs w:val="20"/>
          <w:lang w:val="en-GB" w:bidi="ar-DZ"/>
        </w:rPr>
        <w:t>Treg</w:t>
      </w:r>
      <w:proofErr w:type="spellEnd"/>
      <w:r w:rsidRPr="000B62AC">
        <w:rPr>
          <w:rFonts w:cs="Arabic11 BT"/>
          <w:sz w:val="20"/>
          <w:szCs w:val="20"/>
          <w:lang w:val="en-GB" w:bidi="ar-DZ"/>
        </w:rPr>
        <w:t>/Th17/Th2/Th1</w:t>
      </w:r>
      <w:proofErr w:type="gramEnd"/>
    </w:p>
    <w:p w:rsidR="00D10782" w:rsidRDefault="004B0792" w:rsidP="00D10782">
      <w:pPr>
        <w:bidi/>
        <w:spacing w:after="200" w:line="276" w:lineRule="auto"/>
        <w:ind w:left="-284"/>
        <w:jc w:val="both"/>
        <w:rPr>
          <w:lang w:val="en-GB"/>
        </w:rPr>
      </w:pPr>
      <w:r>
        <w:rPr>
          <w:rStyle w:val="hps"/>
          <w:rFonts w:hint="cs"/>
          <w:rtl/>
        </w:rPr>
        <w:t>العديد من الدراسات</w:t>
      </w:r>
      <w:r w:rsidRPr="00A23ED2">
        <w:rPr>
          <w:rStyle w:val="hps"/>
          <w:rFonts w:hint="cs"/>
          <w:rtl/>
        </w:rPr>
        <w:t xml:space="preserve"> </w:t>
      </w:r>
      <w:proofErr w:type="spellStart"/>
      <w:r>
        <w:rPr>
          <w:rStyle w:val="hps"/>
          <w:rFonts w:hint="cs"/>
          <w:rtl/>
        </w:rPr>
        <w:t>الجينومية</w:t>
      </w:r>
      <w:proofErr w:type="spellEnd"/>
      <w:r w:rsidRPr="00A23ED2">
        <w:rPr>
          <w:rStyle w:val="hps"/>
          <w:rFonts w:hint="cs"/>
          <w:rtl/>
        </w:rPr>
        <w:t xml:space="preserve"> </w:t>
      </w:r>
      <w:r w:rsidR="00EE13D6">
        <w:rPr>
          <w:rStyle w:val="hps"/>
          <w:rFonts w:hint="cs"/>
          <w:rtl/>
          <w:lang w:bidi="ar-DZ"/>
        </w:rPr>
        <w:t xml:space="preserve">سمحت بربط </w:t>
      </w:r>
      <w:r w:rsidRPr="00A23ED2">
        <w:rPr>
          <w:rFonts w:hint="cs"/>
          <w:rtl/>
        </w:rPr>
        <w:t xml:space="preserve">مواضع </w:t>
      </w:r>
      <w:proofErr w:type="spellStart"/>
      <w:r w:rsidRPr="00A23ED2">
        <w:rPr>
          <w:rFonts w:hint="cs"/>
          <w:rtl/>
        </w:rPr>
        <w:t>صبغية</w:t>
      </w:r>
      <w:proofErr w:type="spellEnd"/>
      <w:r w:rsidRPr="00A23ED2">
        <w:rPr>
          <w:rFonts w:hint="cs"/>
          <w:rtl/>
        </w:rPr>
        <w:t xml:space="preserve"> </w:t>
      </w:r>
      <w:r w:rsidR="00EE13D6">
        <w:rPr>
          <w:rFonts w:hint="cs"/>
          <w:rtl/>
        </w:rPr>
        <w:t>معينة</w:t>
      </w:r>
      <w:r w:rsidRPr="00A23ED2">
        <w:rPr>
          <w:rFonts w:hint="cs"/>
          <w:rtl/>
        </w:rPr>
        <w:t>، وتحديد ال</w:t>
      </w:r>
      <w:r w:rsidR="0074778F">
        <w:rPr>
          <w:rtl/>
        </w:rPr>
        <w:t>مورث</w:t>
      </w:r>
      <w:r w:rsidRPr="00A23ED2">
        <w:rPr>
          <w:rFonts w:hint="cs"/>
          <w:rtl/>
        </w:rPr>
        <w:t xml:space="preserve">ات </w:t>
      </w:r>
      <w:r w:rsidR="0074778F">
        <w:rPr>
          <w:rFonts w:cs="Arabic11 BT" w:hint="cs"/>
          <w:rtl/>
          <w:lang w:bidi="ar-DZ"/>
        </w:rPr>
        <w:t xml:space="preserve"> المشاركة في </w:t>
      </w:r>
      <w:proofErr w:type="spellStart"/>
      <w:r w:rsidR="0074778F">
        <w:rPr>
          <w:rFonts w:cs="Arabic11 BT" w:hint="cs"/>
          <w:rtl/>
          <w:lang w:bidi="ar-DZ"/>
        </w:rPr>
        <w:t>تطوير</w:t>
      </w:r>
      <w:r w:rsidR="0074778F" w:rsidRPr="0074778F">
        <w:rPr>
          <w:rFonts w:cs="Arabic11 BT" w:hint="cs"/>
          <w:rtl/>
          <w:lang w:bidi="ar-DZ"/>
        </w:rPr>
        <w:t>الإلتهاب</w:t>
      </w:r>
      <w:proofErr w:type="spellEnd"/>
      <w:r w:rsidR="0074778F" w:rsidRPr="0074778F">
        <w:rPr>
          <w:rFonts w:cs="Arabic11 BT" w:hint="cs"/>
          <w:rtl/>
          <w:lang w:bidi="ar-DZ"/>
        </w:rPr>
        <w:t xml:space="preserve"> المناعي</w:t>
      </w:r>
      <w:r w:rsidR="0074778F">
        <w:rPr>
          <w:rFonts w:cs="Arabic11 BT" w:hint="cs"/>
          <w:rtl/>
          <w:lang w:bidi="ar-DZ"/>
        </w:rPr>
        <w:t>. في الواقع،  وصفت 3</w:t>
      </w:r>
      <w:r w:rsidR="0074778F">
        <w:rPr>
          <w:rFonts w:cs="Arabic11 BT"/>
          <w:lang w:val="en-US" w:bidi="ar-DZ"/>
        </w:rPr>
        <w:t xml:space="preserve"> </w:t>
      </w:r>
      <w:r w:rsidR="0074778F">
        <w:rPr>
          <w:rFonts w:cs="Arabic11 BT" w:hint="cs"/>
          <w:rtl/>
          <w:lang w:bidi="ar-DZ"/>
        </w:rPr>
        <w:t xml:space="preserve">طفرات </w:t>
      </w:r>
      <w:r w:rsidRPr="004B0792">
        <w:rPr>
          <w:rFonts w:cs="Arabic11 BT" w:hint="cs"/>
          <w:rtl/>
          <w:lang w:bidi="ar-DZ"/>
        </w:rPr>
        <w:t xml:space="preserve">مسببة: اثنين من غير المحافظين </w:t>
      </w:r>
      <w:r w:rsidRPr="00AC365D">
        <w:rPr>
          <w:rFonts w:cs="Arabic11 BT" w:hint="cs"/>
          <w:lang w:val="en-GB" w:bidi="ar-DZ"/>
        </w:rPr>
        <w:t>R702W</w:t>
      </w:r>
      <w:r w:rsidRPr="004B0792">
        <w:rPr>
          <w:rFonts w:cs="Arabic11 BT" w:hint="cs"/>
          <w:rtl/>
          <w:lang w:bidi="ar-DZ"/>
        </w:rPr>
        <w:t xml:space="preserve"> (</w:t>
      </w:r>
      <w:r w:rsidRPr="00AC365D">
        <w:rPr>
          <w:rFonts w:cs="Arabic11 BT" w:hint="cs"/>
          <w:lang w:val="en-GB" w:bidi="ar-DZ"/>
        </w:rPr>
        <w:t>SNP8</w:t>
      </w:r>
      <w:r w:rsidRPr="004B0792">
        <w:rPr>
          <w:rFonts w:cs="Arabic11 BT" w:hint="cs"/>
          <w:rtl/>
          <w:lang w:bidi="ar-DZ"/>
        </w:rPr>
        <w:t xml:space="preserve"> أو </w:t>
      </w:r>
      <w:r w:rsidRPr="00AC365D">
        <w:rPr>
          <w:rFonts w:cs="Arabic11 BT" w:hint="cs"/>
          <w:lang w:val="en-GB" w:bidi="ar-DZ"/>
        </w:rPr>
        <w:t>C2104T</w:t>
      </w:r>
      <w:r w:rsidRPr="004B0792">
        <w:rPr>
          <w:rFonts w:cs="Arabic11 BT" w:hint="cs"/>
          <w:rtl/>
          <w:lang w:bidi="ar-DZ"/>
        </w:rPr>
        <w:t xml:space="preserve"> في</w:t>
      </w:r>
      <w:r w:rsidR="00577CA8" w:rsidRPr="00577CA8">
        <w:rPr>
          <w:rFonts w:hint="cs"/>
          <w:rtl/>
          <w:lang w:bidi="ar-DZ"/>
        </w:rPr>
        <w:t xml:space="preserve"> </w:t>
      </w:r>
      <w:proofErr w:type="spellStart"/>
      <w:r w:rsidR="00577CA8" w:rsidRPr="00577CA8">
        <w:rPr>
          <w:rFonts w:hint="cs"/>
          <w:rtl/>
          <w:lang w:bidi="ar-DZ"/>
        </w:rPr>
        <w:t>الا</w:t>
      </w:r>
      <w:proofErr w:type="spellEnd"/>
      <w:r w:rsidR="00577CA8" w:rsidRPr="001B6616">
        <w:rPr>
          <w:rFonts w:hint="cs"/>
          <w:rtl/>
        </w:rPr>
        <w:t>كسون</w:t>
      </w:r>
      <w:r w:rsidRPr="004B0792">
        <w:rPr>
          <w:rFonts w:cs="Arabic11 BT" w:hint="cs"/>
          <w:rtl/>
          <w:lang w:bidi="ar-DZ"/>
        </w:rPr>
        <w:t xml:space="preserve"> 4)، </w:t>
      </w:r>
      <w:r w:rsidRPr="00AC365D">
        <w:rPr>
          <w:rFonts w:cs="Arabic11 BT" w:hint="cs"/>
          <w:lang w:val="en-GB" w:bidi="ar-DZ"/>
        </w:rPr>
        <w:t>G908R</w:t>
      </w:r>
      <w:r w:rsidRPr="004B0792">
        <w:rPr>
          <w:rFonts w:cs="Arabic11 BT" w:hint="cs"/>
          <w:rtl/>
          <w:lang w:bidi="ar-DZ"/>
        </w:rPr>
        <w:t xml:space="preserve"> (</w:t>
      </w:r>
      <w:r w:rsidRPr="00AC365D">
        <w:rPr>
          <w:rFonts w:cs="Arabic11 BT" w:hint="cs"/>
          <w:lang w:val="en-GB" w:bidi="ar-DZ"/>
        </w:rPr>
        <w:t>SNP12</w:t>
      </w:r>
      <w:r w:rsidRPr="004B0792">
        <w:rPr>
          <w:rFonts w:cs="Arabic11 BT" w:hint="cs"/>
          <w:rtl/>
          <w:lang w:bidi="ar-DZ"/>
        </w:rPr>
        <w:t xml:space="preserve"> أو </w:t>
      </w:r>
      <w:r w:rsidRPr="00AC365D">
        <w:rPr>
          <w:rFonts w:cs="Arabic11 BT" w:hint="cs"/>
          <w:lang w:val="en-GB" w:bidi="ar-DZ"/>
        </w:rPr>
        <w:t>G2722C</w:t>
      </w:r>
      <w:r w:rsidRPr="004B0792">
        <w:rPr>
          <w:rFonts w:cs="Arabic11 BT" w:hint="cs"/>
          <w:rtl/>
          <w:lang w:bidi="ar-DZ"/>
        </w:rPr>
        <w:t xml:space="preserve"> في</w:t>
      </w:r>
      <w:r w:rsidR="00577CA8" w:rsidRPr="00577CA8">
        <w:rPr>
          <w:rFonts w:hint="cs"/>
          <w:rtl/>
          <w:lang w:bidi="ar-DZ"/>
        </w:rPr>
        <w:t xml:space="preserve"> </w:t>
      </w:r>
      <w:proofErr w:type="spellStart"/>
      <w:r w:rsidR="00577CA8" w:rsidRPr="00577CA8">
        <w:rPr>
          <w:rFonts w:hint="cs"/>
          <w:rtl/>
          <w:lang w:bidi="ar-DZ"/>
        </w:rPr>
        <w:t>الا</w:t>
      </w:r>
      <w:proofErr w:type="spellEnd"/>
      <w:r w:rsidR="00577CA8" w:rsidRPr="001B6616">
        <w:rPr>
          <w:rFonts w:hint="cs"/>
          <w:rtl/>
        </w:rPr>
        <w:t>كسون</w:t>
      </w:r>
      <w:r w:rsidRPr="004B0792">
        <w:rPr>
          <w:rFonts w:cs="Arabic11 BT" w:hint="cs"/>
          <w:rtl/>
          <w:lang w:bidi="ar-DZ"/>
        </w:rPr>
        <w:t xml:space="preserve"> 8) وطفرة </w:t>
      </w:r>
      <w:proofErr w:type="spellStart"/>
      <w:r w:rsidRPr="004B0792">
        <w:rPr>
          <w:rFonts w:cs="Arabic11 BT" w:hint="cs"/>
          <w:rtl/>
          <w:lang w:bidi="ar-DZ"/>
        </w:rPr>
        <w:t>انزياح</w:t>
      </w:r>
      <w:proofErr w:type="spellEnd"/>
      <w:r w:rsidRPr="004B0792">
        <w:rPr>
          <w:rFonts w:cs="Arabic11 BT" w:hint="cs"/>
          <w:rtl/>
          <w:lang w:bidi="ar-DZ"/>
        </w:rPr>
        <w:t xml:space="preserve"> الإطار </w:t>
      </w:r>
      <w:r w:rsidRPr="00AC365D">
        <w:rPr>
          <w:rFonts w:cs="Arabic11 BT" w:hint="cs"/>
          <w:lang w:val="en-GB" w:bidi="ar-DZ"/>
        </w:rPr>
        <w:t>L1007</w:t>
      </w:r>
      <w:r w:rsidRPr="00A23ED2">
        <w:rPr>
          <w:rFonts w:hint="cs"/>
          <w:rtl/>
        </w:rPr>
        <w:t xml:space="preserve"> </w:t>
      </w:r>
      <w:proofErr w:type="spellStart"/>
      <w:r w:rsidRPr="00AC365D">
        <w:rPr>
          <w:rFonts w:hint="cs"/>
          <w:lang w:val="en-GB"/>
        </w:rPr>
        <w:t>fsinsC</w:t>
      </w:r>
      <w:proofErr w:type="spellEnd"/>
      <w:r w:rsidRPr="00A23ED2">
        <w:rPr>
          <w:rFonts w:hint="cs"/>
          <w:rtl/>
        </w:rPr>
        <w:t xml:space="preserve"> (</w:t>
      </w:r>
      <w:r w:rsidRPr="00AC365D">
        <w:rPr>
          <w:rFonts w:hint="cs"/>
          <w:lang w:val="en-GB"/>
        </w:rPr>
        <w:t>SNP13</w:t>
      </w:r>
      <w:r w:rsidRPr="00A23ED2">
        <w:rPr>
          <w:rFonts w:hint="cs"/>
          <w:rtl/>
        </w:rPr>
        <w:t xml:space="preserve"> أو 3020</w:t>
      </w:r>
      <w:proofErr w:type="spellStart"/>
      <w:r w:rsidRPr="00AC365D">
        <w:rPr>
          <w:rFonts w:hint="cs"/>
          <w:lang w:val="en-GB"/>
        </w:rPr>
        <w:t>insC</w:t>
      </w:r>
      <w:proofErr w:type="spellEnd"/>
      <w:r w:rsidRPr="00A23ED2">
        <w:rPr>
          <w:rFonts w:hint="cs"/>
          <w:rtl/>
        </w:rPr>
        <w:t xml:space="preserve"> أو 1007</w:t>
      </w:r>
      <w:proofErr w:type="spellStart"/>
      <w:r w:rsidRPr="00AC365D">
        <w:rPr>
          <w:rFonts w:hint="cs"/>
          <w:lang w:val="en-GB"/>
        </w:rPr>
        <w:t>fs</w:t>
      </w:r>
      <w:proofErr w:type="spellEnd"/>
      <w:r w:rsidRPr="00A23ED2">
        <w:rPr>
          <w:rFonts w:hint="cs"/>
          <w:rtl/>
        </w:rPr>
        <w:t xml:space="preserve"> في</w:t>
      </w:r>
      <w:r w:rsidR="00577CA8" w:rsidRPr="00577CA8">
        <w:rPr>
          <w:rFonts w:hint="cs"/>
          <w:rtl/>
          <w:lang w:bidi="ar-DZ"/>
        </w:rPr>
        <w:t xml:space="preserve"> </w:t>
      </w:r>
      <w:proofErr w:type="spellStart"/>
      <w:r w:rsidR="00577CA8" w:rsidRPr="00577CA8">
        <w:rPr>
          <w:rFonts w:hint="cs"/>
          <w:rtl/>
          <w:lang w:bidi="ar-DZ"/>
        </w:rPr>
        <w:t>الا</w:t>
      </w:r>
      <w:proofErr w:type="spellEnd"/>
      <w:r w:rsidR="00577CA8" w:rsidRPr="001B6616">
        <w:rPr>
          <w:rFonts w:hint="cs"/>
          <w:rtl/>
        </w:rPr>
        <w:t>كسون</w:t>
      </w:r>
      <w:r w:rsidRPr="00A23ED2">
        <w:rPr>
          <w:rFonts w:hint="cs"/>
          <w:rtl/>
        </w:rPr>
        <w:t xml:space="preserve"> 11).</w:t>
      </w:r>
    </w:p>
    <w:p w:rsidR="004B0792" w:rsidRPr="00D10782" w:rsidRDefault="0074778F" w:rsidP="00D10782">
      <w:pPr>
        <w:bidi/>
        <w:spacing w:after="200" w:line="276" w:lineRule="auto"/>
        <w:ind w:left="-284"/>
        <w:jc w:val="both"/>
        <w:rPr>
          <w:lang w:val="en-GB"/>
        </w:rPr>
      </w:pPr>
      <w:r w:rsidRPr="0074778F">
        <w:rPr>
          <w:rFonts w:hint="cs"/>
          <w:rtl/>
          <w:lang w:val="en-US" w:bidi="ar-DZ"/>
        </w:rPr>
        <w:t xml:space="preserve">أهداف دراستنا ترمي إلى </w:t>
      </w:r>
      <w:r w:rsidR="004B0792" w:rsidRPr="001B6616">
        <w:rPr>
          <w:rFonts w:hint="cs"/>
          <w:rtl/>
        </w:rPr>
        <w:t xml:space="preserve">أولا جمع البيانات </w:t>
      </w:r>
      <w:proofErr w:type="gramStart"/>
      <w:r w:rsidR="004B0792" w:rsidRPr="001B6616">
        <w:rPr>
          <w:rFonts w:hint="cs"/>
          <w:rtl/>
        </w:rPr>
        <w:t>المتوفرة  لتحديد</w:t>
      </w:r>
      <w:proofErr w:type="gramEnd"/>
      <w:r w:rsidR="004B0792" w:rsidRPr="001B6616">
        <w:rPr>
          <w:rFonts w:hint="cs"/>
          <w:rtl/>
        </w:rPr>
        <w:t xml:space="preserve"> الإصابة بهذه الأمراض. من ناحية أخرى، مهمتنا هي للمساعدة في تحديد الأسس الجزيئية من خلال استكشاف الأشكال في </w:t>
      </w:r>
      <w:r w:rsidRPr="00A23ED2">
        <w:rPr>
          <w:rFonts w:hint="cs"/>
          <w:rtl/>
        </w:rPr>
        <w:t>ال</w:t>
      </w:r>
      <w:r>
        <w:rPr>
          <w:rtl/>
        </w:rPr>
        <w:t>مورث</w:t>
      </w:r>
      <w:r w:rsidR="00577CA8">
        <w:rPr>
          <w:rtl/>
          <w:lang w:bidi="ar-DZ"/>
        </w:rPr>
        <w:t>ة</w:t>
      </w:r>
      <w:r w:rsidR="004B0792" w:rsidRPr="001B6616">
        <w:rPr>
          <w:rFonts w:hint="cs"/>
          <w:rtl/>
        </w:rPr>
        <w:t xml:space="preserve"> </w:t>
      </w:r>
      <w:r w:rsidR="004B0792" w:rsidRPr="00AC365D">
        <w:rPr>
          <w:rFonts w:hint="cs"/>
          <w:lang w:val="en-GB"/>
        </w:rPr>
        <w:t>NOD2/CARD15</w:t>
      </w:r>
      <w:r w:rsidR="000B2BB2">
        <w:rPr>
          <w:rFonts w:hint="cs"/>
          <w:rtl/>
        </w:rPr>
        <w:t xml:space="preserve"> </w:t>
      </w:r>
      <w:r w:rsidR="000B2BB2" w:rsidRPr="001B6616">
        <w:rPr>
          <w:rFonts w:hint="cs"/>
          <w:rtl/>
        </w:rPr>
        <w:t>و</w:t>
      </w:r>
      <w:r w:rsidR="004B0792" w:rsidRPr="001B6616">
        <w:rPr>
          <w:rFonts w:hint="cs"/>
          <w:rtl/>
        </w:rPr>
        <w:t xml:space="preserve"> وجود</w:t>
      </w:r>
      <w:r w:rsidR="00577CA8">
        <w:rPr>
          <w:lang w:val="en-US"/>
        </w:rPr>
        <w:t xml:space="preserve"> </w:t>
      </w:r>
      <w:r w:rsidR="00577CA8">
        <w:rPr>
          <w:rtl/>
        </w:rPr>
        <w:t>أم</w:t>
      </w:r>
      <w:r w:rsidR="00577CA8">
        <w:rPr>
          <w:lang w:val="en-US"/>
        </w:rPr>
        <w:t xml:space="preserve"> </w:t>
      </w:r>
      <w:proofErr w:type="spellStart"/>
      <w:r w:rsidR="00577CA8" w:rsidRPr="00577CA8">
        <w:t>غياب</w:t>
      </w:r>
      <w:proofErr w:type="spellEnd"/>
      <w:r w:rsidR="00577CA8" w:rsidRPr="00577CA8">
        <w:rPr>
          <w:lang w:val="en-US"/>
        </w:rPr>
        <w:t xml:space="preserve"> </w:t>
      </w:r>
      <w:r w:rsidR="00577CA8" w:rsidRPr="001B6616">
        <w:rPr>
          <w:rFonts w:hint="cs"/>
          <w:rtl/>
        </w:rPr>
        <w:t>ال</w:t>
      </w:r>
      <w:r w:rsidR="004B0792" w:rsidRPr="001B6616">
        <w:rPr>
          <w:rFonts w:hint="cs"/>
          <w:rtl/>
        </w:rPr>
        <w:t xml:space="preserve">طفرة </w:t>
      </w:r>
      <w:r w:rsidR="004B0792" w:rsidRPr="00AC365D">
        <w:rPr>
          <w:rFonts w:hint="cs"/>
          <w:lang w:val="en-GB"/>
        </w:rPr>
        <w:t>R702W</w:t>
      </w:r>
      <w:r w:rsidR="004B0792" w:rsidRPr="001B6616">
        <w:rPr>
          <w:rFonts w:hint="cs"/>
          <w:rtl/>
        </w:rPr>
        <w:t xml:space="preserve"> (</w:t>
      </w:r>
      <w:r w:rsidR="004B0792" w:rsidRPr="00AC365D">
        <w:rPr>
          <w:rFonts w:hint="cs"/>
          <w:lang w:val="en-GB"/>
        </w:rPr>
        <w:t>SNP8</w:t>
      </w:r>
      <w:r w:rsidR="004B0792" w:rsidRPr="001B6616">
        <w:rPr>
          <w:rFonts w:hint="cs"/>
          <w:rtl/>
        </w:rPr>
        <w:t xml:space="preserve"> أو </w:t>
      </w:r>
      <w:r w:rsidR="004B0792" w:rsidRPr="00AC365D">
        <w:rPr>
          <w:rFonts w:hint="cs"/>
          <w:lang w:val="en-GB"/>
        </w:rPr>
        <w:t>C2104T</w:t>
      </w:r>
      <w:r w:rsidR="004B0792" w:rsidRPr="001B6616">
        <w:rPr>
          <w:rFonts w:hint="cs"/>
          <w:rtl/>
        </w:rPr>
        <w:t xml:space="preserve">) في </w:t>
      </w:r>
      <w:proofErr w:type="spellStart"/>
      <w:r w:rsidR="00577CA8" w:rsidRPr="00577CA8">
        <w:rPr>
          <w:rFonts w:hint="cs"/>
          <w:rtl/>
          <w:lang w:bidi="ar-DZ"/>
        </w:rPr>
        <w:t>الا</w:t>
      </w:r>
      <w:proofErr w:type="spellEnd"/>
      <w:r w:rsidR="004B0792" w:rsidRPr="001B6616">
        <w:rPr>
          <w:rFonts w:hint="cs"/>
          <w:rtl/>
        </w:rPr>
        <w:t xml:space="preserve">كسون 4 </w:t>
      </w:r>
      <w:r w:rsidR="000B2BB2">
        <w:rPr>
          <w:rFonts w:hint="cs"/>
          <w:rtl/>
        </w:rPr>
        <w:t>.</w:t>
      </w:r>
    </w:p>
    <w:p w:rsidR="00EE13D6" w:rsidRDefault="00EE13D6" w:rsidP="00B86081">
      <w:pPr>
        <w:bidi/>
        <w:ind w:left="-284"/>
        <w:jc w:val="both"/>
        <w:rPr>
          <w:lang w:val="en-GB"/>
        </w:rPr>
      </w:pPr>
      <w:r w:rsidRPr="001B6616">
        <w:rPr>
          <w:rFonts w:hint="cs"/>
          <w:rtl/>
        </w:rPr>
        <w:t>النتائج الأولية لدينا تشير إلى أن أليل</w:t>
      </w:r>
      <w:r w:rsidR="000B2BB2" w:rsidRPr="00AC365D">
        <w:rPr>
          <w:rFonts w:hint="cs"/>
          <w:lang w:val="en-GB"/>
        </w:rPr>
        <w:t>T</w:t>
      </w:r>
      <w:r w:rsidR="000B2BB2">
        <w:rPr>
          <w:rFonts w:hint="cs"/>
          <w:rtl/>
        </w:rPr>
        <w:t xml:space="preserve">  </w:t>
      </w:r>
      <w:r w:rsidRPr="00AC365D">
        <w:rPr>
          <w:rFonts w:hint="cs"/>
          <w:lang w:val="en-GB"/>
        </w:rPr>
        <w:t>rs2066844</w:t>
      </w:r>
      <w:r w:rsidRPr="001B6616">
        <w:rPr>
          <w:rFonts w:hint="cs"/>
          <w:rtl/>
        </w:rPr>
        <w:t xml:space="preserve"> هو أكثر شيوعا لدى المرضى مقارنة بالمجموعة ال</w:t>
      </w:r>
      <w:r w:rsidR="00B86081">
        <w:rPr>
          <w:rFonts w:hint="cs"/>
          <w:rtl/>
        </w:rPr>
        <w:t xml:space="preserve">غير مصا </w:t>
      </w:r>
      <w:proofErr w:type="spellStart"/>
      <w:r w:rsidR="00B86081">
        <w:rPr>
          <w:rFonts w:hint="cs"/>
          <w:rtl/>
        </w:rPr>
        <w:t>بة</w:t>
      </w:r>
      <w:proofErr w:type="spellEnd"/>
      <w:r w:rsidRPr="001B6616">
        <w:rPr>
          <w:rFonts w:hint="cs"/>
          <w:rtl/>
        </w:rPr>
        <w:t xml:space="preserve"> وعلاوة على ذلك، نلاحظ أن التركيب الوراثي</w:t>
      </w:r>
      <w:r w:rsidR="00577CA8">
        <w:rPr>
          <w:lang w:val="en-US"/>
        </w:rPr>
        <w:t xml:space="preserve"> </w:t>
      </w:r>
      <w:r w:rsidR="00577CA8" w:rsidRPr="001B6616">
        <w:rPr>
          <w:rFonts w:hint="cs"/>
          <w:rtl/>
        </w:rPr>
        <w:t xml:space="preserve">النادر </w:t>
      </w:r>
      <w:r w:rsidR="00B86081" w:rsidRPr="001B6616">
        <w:rPr>
          <w:rFonts w:hint="cs"/>
          <w:rtl/>
        </w:rPr>
        <w:t>(</w:t>
      </w:r>
      <w:r w:rsidR="00B86081" w:rsidRPr="00AC365D">
        <w:rPr>
          <w:rFonts w:hint="cs"/>
          <w:lang w:val="en-GB"/>
        </w:rPr>
        <w:t>CT</w:t>
      </w:r>
      <w:r w:rsidR="00B86081" w:rsidRPr="001B6616">
        <w:rPr>
          <w:rFonts w:hint="cs"/>
          <w:rtl/>
        </w:rPr>
        <w:t>)</w:t>
      </w:r>
      <w:r w:rsidRPr="001B6616">
        <w:rPr>
          <w:rFonts w:hint="cs"/>
          <w:rtl/>
        </w:rPr>
        <w:t xml:space="preserve"> هو أكثر شيوعا في </w:t>
      </w:r>
      <w:r w:rsidR="00B86081">
        <w:rPr>
          <w:rFonts w:hint="cs"/>
          <w:rtl/>
        </w:rPr>
        <w:t>ال</w:t>
      </w:r>
      <w:r w:rsidRPr="001B6616">
        <w:rPr>
          <w:rFonts w:hint="cs"/>
          <w:rtl/>
        </w:rPr>
        <w:t>مجموعة</w:t>
      </w:r>
      <w:r w:rsidR="00B86081" w:rsidRPr="00B86081">
        <w:rPr>
          <w:rFonts w:hint="cs"/>
          <w:rtl/>
        </w:rPr>
        <w:t xml:space="preserve"> </w:t>
      </w:r>
      <w:r w:rsidR="00B86081">
        <w:rPr>
          <w:rFonts w:hint="cs"/>
          <w:rtl/>
        </w:rPr>
        <w:t>المصابة</w:t>
      </w:r>
      <w:r w:rsidRPr="001B6616">
        <w:rPr>
          <w:rFonts w:hint="cs"/>
          <w:rtl/>
        </w:rPr>
        <w:t>.</w:t>
      </w:r>
      <w:r w:rsidRPr="001B6616">
        <w:rPr>
          <w:rFonts w:hint="cs"/>
          <w:rtl/>
        </w:rPr>
        <w:br/>
        <w:t>هذه النتائج تدعم إشراك</w:t>
      </w:r>
      <w:r w:rsidR="00577CA8" w:rsidRPr="00577CA8">
        <w:rPr>
          <w:rFonts w:hint="cs"/>
          <w:rtl/>
        </w:rPr>
        <w:t xml:space="preserve"> </w:t>
      </w:r>
      <w:r w:rsidR="00577CA8" w:rsidRPr="00A23ED2">
        <w:rPr>
          <w:rFonts w:hint="cs"/>
          <w:rtl/>
        </w:rPr>
        <w:t>ال</w:t>
      </w:r>
      <w:r w:rsidR="00577CA8">
        <w:rPr>
          <w:rtl/>
        </w:rPr>
        <w:t>مورث</w:t>
      </w:r>
      <w:r w:rsidR="00577CA8">
        <w:rPr>
          <w:rtl/>
          <w:lang w:bidi="ar-DZ"/>
        </w:rPr>
        <w:t>ة</w:t>
      </w:r>
      <w:r w:rsidRPr="001B6616">
        <w:rPr>
          <w:rFonts w:hint="cs"/>
          <w:rtl/>
        </w:rPr>
        <w:t xml:space="preserve"> </w:t>
      </w:r>
      <w:r w:rsidRPr="00AC365D">
        <w:rPr>
          <w:rFonts w:hint="cs"/>
          <w:lang w:val="en-GB"/>
        </w:rPr>
        <w:t>NOD2/CARD15</w:t>
      </w:r>
      <w:r w:rsidRPr="001B6616">
        <w:rPr>
          <w:rFonts w:hint="cs"/>
          <w:rtl/>
        </w:rPr>
        <w:t xml:space="preserve"> وخصوصا </w:t>
      </w:r>
      <w:r w:rsidR="00577CA8" w:rsidRPr="00A23ED2">
        <w:rPr>
          <w:rFonts w:hint="cs"/>
          <w:rtl/>
        </w:rPr>
        <w:t>ال</w:t>
      </w:r>
      <w:r w:rsidR="00577CA8">
        <w:rPr>
          <w:rtl/>
        </w:rPr>
        <w:t>مورث</w:t>
      </w:r>
      <w:r w:rsidR="00577CA8">
        <w:rPr>
          <w:rtl/>
          <w:lang w:bidi="ar-DZ"/>
        </w:rPr>
        <w:t>ة</w:t>
      </w:r>
      <w:r w:rsidR="00577CA8" w:rsidRPr="001B6616">
        <w:rPr>
          <w:rFonts w:hint="cs"/>
          <w:rtl/>
        </w:rPr>
        <w:t xml:space="preserve"> </w:t>
      </w:r>
      <w:r w:rsidRPr="001B6616">
        <w:rPr>
          <w:rFonts w:hint="cs"/>
          <w:rtl/>
        </w:rPr>
        <w:t>(</w:t>
      </w:r>
      <w:r w:rsidRPr="00AC365D">
        <w:rPr>
          <w:rFonts w:hint="cs"/>
          <w:lang w:val="en-GB"/>
        </w:rPr>
        <w:t>R702W</w:t>
      </w:r>
      <w:r w:rsidRPr="001B6616">
        <w:rPr>
          <w:rFonts w:hint="cs"/>
          <w:rtl/>
        </w:rPr>
        <w:t>)</w:t>
      </w:r>
      <w:r w:rsidR="00B86081">
        <w:rPr>
          <w:rFonts w:hint="cs"/>
          <w:rtl/>
        </w:rPr>
        <w:t xml:space="preserve"> عند </w:t>
      </w:r>
      <w:proofErr w:type="spellStart"/>
      <w:r w:rsidR="00B86081">
        <w:rPr>
          <w:rFonts w:hint="cs"/>
          <w:rtl/>
        </w:rPr>
        <w:t>المصا</w:t>
      </w:r>
      <w:proofErr w:type="spellEnd"/>
      <w:r w:rsidR="00B86081">
        <w:rPr>
          <w:rFonts w:hint="cs"/>
          <w:rtl/>
        </w:rPr>
        <w:t xml:space="preserve"> بين </w:t>
      </w:r>
      <w:proofErr w:type="spellStart"/>
      <w:r w:rsidR="00B86081">
        <w:rPr>
          <w:rFonts w:hint="cs"/>
          <w:rtl/>
        </w:rPr>
        <w:t>بهدا</w:t>
      </w:r>
      <w:proofErr w:type="spellEnd"/>
      <w:r w:rsidR="00B86081">
        <w:rPr>
          <w:rFonts w:hint="cs"/>
          <w:rtl/>
        </w:rPr>
        <w:t xml:space="preserve"> المرض</w:t>
      </w:r>
      <w:r w:rsidRPr="001B6616">
        <w:rPr>
          <w:rFonts w:hint="cs"/>
          <w:rtl/>
        </w:rPr>
        <w:t>.</w:t>
      </w:r>
    </w:p>
    <w:p w:rsidR="00577CA8" w:rsidRPr="00AC365D" w:rsidRDefault="00577CA8" w:rsidP="00577CA8">
      <w:pPr>
        <w:bidi/>
        <w:ind w:left="-284"/>
        <w:jc w:val="both"/>
        <w:rPr>
          <w:lang w:val="en-GB" w:bidi="ar-DZ"/>
        </w:rPr>
      </w:pPr>
      <w:r w:rsidRPr="00577CA8">
        <w:rPr>
          <w:rFonts w:hint="cs"/>
          <w:rtl/>
          <w:lang w:val="en-GB" w:bidi="ar-DZ"/>
        </w:rPr>
        <w:t xml:space="preserve">على ضوء هذه النتائج، يبدوا أن </w:t>
      </w:r>
      <w:proofErr w:type="spellStart"/>
      <w:r w:rsidRPr="00577CA8">
        <w:rPr>
          <w:rFonts w:hint="cs"/>
          <w:rtl/>
          <w:lang w:val="en-GB" w:bidi="ar-DZ"/>
        </w:rPr>
        <w:t>الـ</w:t>
      </w:r>
      <w:proofErr w:type="spellEnd"/>
      <w:r w:rsidRPr="00577CA8">
        <w:rPr>
          <w:rFonts w:hint="cs"/>
          <w:rtl/>
          <w:lang w:val="en-GB" w:bidi="ar-DZ"/>
        </w:rPr>
        <w:t xml:space="preserve"> </w:t>
      </w:r>
      <w:r w:rsidRPr="00577CA8">
        <w:rPr>
          <w:lang w:val="en-GB"/>
        </w:rPr>
        <w:t>NO</w:t>
      </w:r>
      <w:r w:rsidRPr="00577CA8">
        <w:rPr>
          <w:rFonts w:hint="cs"/>
          <w:rtl/>
          <w:lang w:val="en-GB" w:bidi="ar-DZ"/>
        </w:rPr>
        <w:t xml:space="preserve"> له دخل إلى حد كبير في مسار </w:t>
      </w:r>
      <w:proofErr w:type="spellStart"/>
      <w:r w:rsidRPr="00577CA8">
        <w:rPr>
          <w:rFonts w:hint="cs"/>
          <w:rtl/>
          <w:lang w:val="en-GB" w:bidi="ar-DZ"/>
        </w:rPr>
        <w:t>الإلتهاب</w:t>
      </w:r>
      <w:proofErr w:type="spellEnd"/>
      <w:r w:rsidRPr="00577CA8">
        <w:rPr>
          <w:rFonts w:hint="cs"/>
          <w:rtl/>
          <w:lang w:val="en-GB" w:bidi="ar-DZ"/>
        </w:rPr>
        <w:t xml:space="preserve"> المناعي و لكن بدرجات متفاوتة على حسب</w:t>
      </w:r>
      <w:r w:rsidRPr="00577CA8">
        <w:rPr>
          <w:rFonts w:cs="Arabic11 BT" w:hint="cs"/>
          <w:rtl/>
          <w:lang w:bidi="ar-DZ"/>
        </w:rPr>
        <w:t xml:space="preserve"> </w:t>
      </w:r>
      <w:r w:rsidRPr="00577CA8">
        <w:rPr>
          <w:rFonts w:hint="cs"/>
          <w:rtl/>
          <w:lang w:val="en-GB" w:bidi="ar-DZ"/>
        </w:rPr>
        <w:t>المرض المأخوذ على حسب</w:t>
      </w:r>
      <w:r w:rsidRPr="00577CA8">
        <w:rPr>
          <w:rFonts w:hint="cs"/>
          <w:rtl/>
        </w:rPr>
        <w:t xml:space="preserve"> </w:t>
      </w:r>
      <w:r w:rsidRPr="001B6616">
        <w:rPr>
          <w:rFonts w:hint="cs"/>
          <w:rtl/>
        </w:rPr>
        <w:t>و وجود</w:t>
      </w:r>
      <w:r>
        <w:rPr>
          <w:lang w:val="en-US"/>
        </w:rPr>
        <w:t xml:space="preserve"> </w:t>
      </w:r>
      <w:r>
        <w:rPr>
          <w:rtl/>
        </w:rPr>
        <w:t>أم</w:t>
      </w:r>
      <w:r>
        <w:rPr>
          <w:lang w:val="en-US"/>
        </w:rPr>
        <w:t xml:space="preserve"> </w:t>
      </w:r>
      <w:proofErr w:type="spellStart"/>
      <w:r w:rsidRPr="00577CA8">
        <w:rPr>
          <w:lang w:val="en-US"/>
        </w:rPr>
        <w:t>غياب</w:t>
      </w:r>
      <w:proofErr w:type="spellEnd"/>
      <w:r>
        <w:rPr>
          <w:lang w:val="en-US"/>
        </w:rPr>
        <w:t xml:space="preserve"> </w:t>
      </w:r>
      <w:r w:rsidRPr="001B6616">
        <w:rPr>
          <w:rFonts w:hint="cs"/>
          <w:rtl/>
        </w:rPr>
        <w:t xml:space="preserve"> الطفرة </w:t>
      </w:r>
      <w:r w:rsidRPr="00AC365D">
        <w:rPr>
          <w:rFonts w:hint="cs"/>
          <w:lang w:val="en-GB"/>
        </w:rPr>
        <w:t>R702W</w:t>
      </w:r>
    </w:p>
    <w:p w:rsidR="00EE13D6" w:rsidRPr="000B62AC" w:rsidRDefault="00EE13D6" w:rsidP="00EE13D6">
      <w:pPr>
        <w:bidi/>
        <w:ind w:left="-288" w:right="-180"/>
        <w:jc w:val="both"/>
        <w:rPr>
          <w:rFonts w:cs="Arabic11 BT"/>
          <w:lang w:val="en-GB" w:bidi="ar-DZ"/>
        </w:rPr>
      </w:pPr>
    </w:p>
    <w:p w:rsidR="003364D9" w:rsidRPr="007C59F0" w:rsidRDefault="003364D9" w:rsidP="003364D9">
      <w:pPr>
        <w:tabs>
          <w:tab w:val="left" w:pos="3261"/>
        </w:tabs>
        <w:bidi/>
        <w:ind w:left="-288" w:right="-180"/>
        <w:jc w:val="both"/>
        <w:rPr>
          <w:rFonts w:cs="Arabic11 BT"/>
          <w:rtl/>
          <w:lang w:bidi="ar-DZ"/>
        </w:rPr>
      </w:pPr>
      <w:r>
        <w:rPr>
          <w:rFonts w:ascii="TimesNewRomanPS-BoldMT" w:eastAsia="Batang" w:cs="TimesNewRomanPS-BoldMT" w:hint="cs"/>
          <w:b/>
          <w:bCs/>
          <w:sz w:val="32"/>
          <w:szCs w:val="32"/>
          <w:rtl/>
          <w:lang w:eastAsia="ko-KR"/>
        </w:rPr>
        <w:t>الكلمات</w:t>
      </w:r>
      <w:r w:rsidRPr="00AC365D">
        <w:rPr>
          <w:rFonts w:ascii="TimesNewRomanPS-BoldMT" w:eastAsia="Batang" w:cs="TimesNewRomanPS-BoldMT"/>
          <w:b/>
          <w:bCs/>
          <w:sz w:val="32"/>
          <w:szCs w:val="32"/>
          <w:lang w:val="en-GB" w:eastAsia="ko-KR"/>
        </w:rPr>
        <w:t xml:space="preserve">  </w:t>
      </w:r>
      <w:proofErr w:type="spellStart"/>
      <w:r>
        <w:rPr>
          <w:rFonts w:ascii="TimesNewRomanPS-BoldMT" w:eastAsia="Batang" w:cs="TimesNewRomanPS-BoldMT" w:hint="cs"/>
          <w:b/>
          <w:bCs/>
          <w:sz w:val="32"/>
          <w:szCs w:val="32"/>
          <w:rtl/>
          <w:lang w:eastAsia="ko-KR"/>
        </w:rPr>
        <w:t>المفتاحية</w:t>
      </w:r>
      <w:proofErr w:type="spellEnd"/>
      <w:r>
        <w:rPr>
          <w:rFonts w:ascii="TimesNewRomanPS-BoldMT" w:eastAsia="Batang" w:cs="TimesNewRomanPS-BoldMT" w:hint="cs"/>
          <w:b/>
          <w:bCs/>
          <w:sz w:val="32"/>
          <w:szCs w:val="32"/>
          <w:rtl/>
          <w:lang w:eastAsia="ko-KR"/>
        </w:rPr>
        <w:t> </w:t>
      </w:r>
      <w:r w:rsidRPr="00AC365D">
        <w:rPr>
          <w:rFonts w:ascii="TimesNewRomanPS-BoldMT" w:eastAsia="Batang" w:cs="TimesNewRomanPS-BoldMT"/>
          <w:b/>
          <w:bCs/>
          <w:sz w:val="32"/>
          <w:szCs w:val="32"/>
          <w:lang w:val="en-GB" w:eastAsia="ko-KR"/>
        </w:rPr>
        <w:t>:</w:t>
      </w:r>
    </w:p>
    <w:p w:rsidR="00E13E9C" w:rsidRPr="0074778F" w:rsidRDefault="00C60D5E" w:rsidP="00AC365D">
      <w:pPr>
        <w:ind w:left="-288" w:right="-993"/>
        <w:jc w:val="center"/>
        <w:rPr>
          <w:lang w:val="en-GB"/>
        </w:rPr>
      </w:pPr>
      <w:r>
        <w:rPr>
          <w:rFonts w:cs="Arabic11 BT" w:hint="cs"/>
          <w:rtl/>
          <w:lang w:bidi="ar-DZ"/>
        </w:rPr>
        <w:t>/</w:t>
      </w:r>
      <w:r w:rsidR="003364D9">
        <w:rPr>
          <w:rFonts w:cs="Arabic11 BT" w:hint="cs"/>
          <w:rtl/>
          <w:lang w:bidi="ar-DZ"/>
        </w:rPr>
        <w:t>م</w:t>
      </w:r>
      <w:r w:rsidR="00B86081">
        <w:rPr>
          <w:rFonts w:cs="Arabic11 BT" w:hint="cs"/>
          <w:rtl/>
          <w:lang w:bidi="ar-DZ"/>
        </w:rPr>
        <w:t xml:space="preserve">رض </w:t>
      </w:r>
      <w:proofErr w:type="spellStart"/>
      <w:r w:rsidR="00B86081">
        <w:rPr>
          <w:rFonts w:cs="Arabic11 BT" w:hint="cs"/>
          <w:rtl/>
          <w:lang w:bidi="ar-DZ"/>
        </w:rPr>
        <w:t>كرو</w:t>
      </w:r>
      <w:proofErr w:type="spellEnd"/>
      <w:r w:rsidR="00B86081">
        <w:rPr>
          <w:rFonts w:cs="Arabic11 BT" w:hint="cs"/>
          <w:rtl/>
          <w:lang w:bidi="ar-DZ"/>
        </w:rPr>
        <w:t xml:space="preserve"> ن </w:t>
      </w:r>
      <w:r>
        <w:rPr>
          <w:rFonts w:cs="Arabic11 BT" w:hint="cs"/>
          <w:rtl/>
          <w:lang w:bidi="ar-DZ"/>
        </w:rPr>
        <w:t>/</w:t>
      </w:r>
      <w:r w:rsidR="00B86081">
        <w:rPr>
          <w:rFonts w:cs="Arabic11 BT" w:hint="cs"/>
          <w:rtl/>
          <w:lang w:bidi="ar-DZ"/>
        </w:rPr>
        <w:t>مرض</w:t>
      </w:r>
      <w:r w:rsidR="00B86081" w:rsidRPr="009E7E89">
        <w:rPr>
          <w:rFonts w:cs="Arabic11 BT" w:hint="cs"/>
          <w:rtl/>
          <w:lang w:bidi="ar-DZ"/>
        </w:rPr>
        <w:t xml:space="preserve"> </w:t>
      </w:r>
      <w:proofErr w:type="spellStart"/>
      <w:r>
        <w:rPr>
          <w:rFonts w:cs="Arabic11 BT" w:hint="cs"/>
          <w:rtl/>
          <w:lang w:bidi="ar-DZ"/>
        </w:rPr>
        <w:t>إلتهاب</w:t>
      </w:r>
      <w:proofErr w:type="spellEnd"/>
      <w:r>
        <w:rPr>
          <w:rFonts w:cs="Arabic11 BT" w:hint="cs"/>
          <w:rtl/>
          <w:lang w:bidi="ar-DZ"/>
        </w:rPr>
        <w:t xml:space="preserve"> الشرج النزيف/</w:t>
      </w:r>
      <w:r w:rsidR="00577CA8" w:rsidRPr="00577CA8">
        <w:rPr>
          <w:lang w:val="en-US" w:bidi="ar-DZ"/>
        </w:rPr>
        <w:t xml:space="preserve"> </w:t>
      </w:r>
      <w:r w:rsidR="00577CA8" w:rsidRPr="00577CA8">
        <w:rPr>
          <w:lang w:val="en-US"/>
        </w:rPr>
        <w:t>Th17</w:t>
      </w:r>
      <w:r w:rsidR="00577CA8">
        <w:rPr>
          <w:rStyle w:val="hps"/>
          <w:rtl/>
          <w:lang w:val="en-US"/>
        </w:rPr>
        <w:t>/</w:t>
      </w:r>
      <w:r w:rsidR="00B86081">
        <w:rPr>
          <w:rStyle w:val="hps"/>
          <w:rFonts w:hint="cs"/>
          <w:rtl/>
        </w:rPr>
        <w:t xml:space="preserve"> </w:t>
      </w:r>
      <w:r w:rsidR="00577CA8">
        <w:rPr>
          <w:rFonts w:hint="cs"/>
          <w:lang w:val="en-GB"/>
        </w:rPr>
        <w:t>NOD2</w:t>
      </w:r>
      <w:r w:rsidR="00577CA8">
        <w:rPr>
          <w:lang w:val="en-GB"/>
        </w:rPr>
        <w:t>-</w:t>
      </w:r>
      <w:r w:rsidR="00B86081" w:rsidRPr="0074778F">
        <w:rPr>
          <w:rFonts w:hint="cs"/>
          <w:lang w:val="en-GB"/>
        </w:rPr>
        <w:t>CARD15</w:t>
      </w:r>
    </w:p>
    <w:p w:rsidR="00AC365D" w:rsidRPr="0074778F" w:rsidRDefault="00AC365D" w:rsidP="00AC365D">
      <w:pPr>
        <w:ind w:left="-288" w:right="-993"/>
        <w:jc w:val="center"/>
        <w:rPr>
          <w:lang w:val="en-GB"/>
        </w:rPr>
      </w:pPr>
    </w:p>
    <w:p w:rsidR="00AC365D" w:rsidRDefault="00221538" w:rsidP="00221538">
      <w:pPr>
        <w:ind w:left="-288" w:right="-993"/>
      </w:pPr>
      <w:proofErr w:type="spellStart"/>
      <w:r>
        <w:rPr>
          <w:b/>
          <w:u w:val="single"/>
        </w:rPr>
        <w:t>Summary</w:t>
      </w:r>
      <w:proofErr w:type="spellEnd"/>
      <w:r>
        <w:rPr>
          <w:b/>
          <w:u w:val="single"/>
        </w:rPr>
        <w:t> :</w:t>
      </w:r>
    </w:p>
    <w:p w:rsidR="00AC365D" w:rsidRPr="00AC365D" w:rsidRDefault="00AC365D" w:rsidP="00AC365D">
      <w:pPr>
        <w:ind w:left="-288" w:right="-993"/>
        <w:rPr>
          <w:lang w:val="en-US"/>
        </w:rPr>
      </w:pPr>
      <w:proofErr w:type="spellStart"/>
      <w:r w:rsidRPr="00AC365D">
        <w:rPr>
          <w:lang w:val="en-US"/>
        </w:rPr>
        <w:t>Crohn's</w:t>
      </w:r>
      <w:proofErr w:type="spellEnd"/>
      <w:r w:rsidRPr="00AC365D">
        <w:rPr>
          <w:lang w:val="en-US"/>
        </w:rPr>
        <w:t xml:space="preserve"> disease and ulcerative colitis, the two main types of chronic inflammatory bowel disease, are </w:t>
      </w:r>
      <w:proofErr w:type="spellStart"/>
      <w:r w:rsidRPr="00AC365D">
        <w:rPr>
          <w:lang w:val="en-US"/>
        </w:rPr>
        <w:t>multifactorial</w:t>
      </w:r>
      <w:proofErr w:type="spellEnd"/>
      <w:r w:rsidRPr="00AC365D">
        <w:rPr>
          <w:lang w:val="en-US"/>
        </w:rPr>
        <w:t xml:space="preserve"> conditions of unknown </w:t>
      </w:r>
      <w:proofErr w:type="spellStart"/>
      <w:r w:rsidRPr="00AC365D">
        <w:rPr>
          <w:lang w:val="en-US"/>
        </w:rPr>
        <w:t>aetiology</w:t>
      </w:r>
      <w:proofErr w:type="spellEnd"/>
      <w:r w:rsidRPr="00AC365D">
        <w:rPr>
          <w:lang w:val="en-US"/>
        </w:rPr>
        <w:t xml:space="preserve">. </w:t>
      </w:r>
      <w:r w:rsidR="00221538" w:rsidRPr="00221538">
        <w:rPr>
          <w:lang w:val="en-US"/>
        </w:rPr>
        <w:t xml:space="preserve">The </w:t>
      </w:r>
      <w:proofErr w:type="spellStart"/>
      <w:r w:rsidR="00221538" w:rsidRPr="00221538">
        <w:rPr>
          <w:lang w:val="en-US"/>
        </w:rPr>
        <w:t>pathophysiology</w:t>
      </w:r>
      <w:proofErr w:type="spellEnd"/>
      <w:r w:rsidR="00221538" w:rsidRPr="00221538">
        <w:rPr>
          <w:lang w:val="en-US"/>
        </w:rPr>
        <w:t xml:space="preserve"> of IBD is under active investigation. </w:t>
      </w:r>
      <w:r w:rsidR="00221538">
        <w:rPr>
          <w:lang w:val="en-US"/>
        </w:rPr>
        <w:t>But p</w:t>
      </w:r>
      <w:r w:rsidR="00221538" w:rsidRPr="00221538">
        <w:rPr>
          <w:lang w:val="en-US"/>
        </w:rPr>
        <w:t>ersons with IBD have a genetic predisposition (or, perhaps, susceptibility) for the disease</w:t>
      </w:r>
      <w:r w:rsidR="00221538" w:rsidRPr="00221538">
        <w:rPr>
          <w:vertAlign w:val="superscript"/>
          <w:lang w:val="en-US"/>
        </w:rPr>
        <w:t xml:space="preserve"> </w:t>
      </w:r>
      <w:r w:rsidR="00221538" w:rsidRPr="00221538">
        <w:rPr>
          <w:lang w:val="en-US"/>
        </w:rPr>
        <w:t>and a great deal of research has been performed to discover potential genes linked to IBD. An early discovery was on chromosome 16 (</w:t>
      </w:r>
      <w:r w:rsidR="00221538" w:rsidRPr="00221538">
        <w:rPr>
          <w:i/>
          <w:iCs/>
          <w:lang w:val="en-US"/>
        </w:rPr>
        <w:t>IBD1</w:t>
      </w:r>
      <w:r w:rsidR="00221538" w:rsidRPr="00221538">
        <w:rPr>
          <w:lang w:val="en-US"/>
        </w:rPr>
        <w:t> gene), which led to the identification of the </w:t>
      </w:r>
      <w:r w:rsidR="00221538" w:rsidRPr="00221538">
        <w:rPr>
          <w:i/>
          <w:iCs/>
          <w:lang w:val="en-US"/>
        </w:rPr>
        <w:t>NOD2</w:t>
      </w:r>
      <w:r w:rsidR="00221538" w:rsidRPr="00221538">
        <w:rPr>
          <w:lang w:val="en-US"/>
        </w:rPr>
        <w:t> gene as the first gene clearly associated with IBD (as a susceptibility gene for Crohn disease). </w:t>
      </w:r>
      <w:r w:rsidR="00D10782">
        <w:rPr>
          <w:lang w:val="en-US"/>
        </w:rPr>
        <w:t>Indeed</w:t>
      </w:r>
      <w:r w:rsidR="00221538">
        <w:rPr>
          <w:lang w:val="en-US"/>
        </w:rPr>
        <w:t xml:space="preserve">, </w:t>
      </w:r>
      <w:r w:rsidRPr="00AC365D">
        <w:rPr>
          <w:lang w:val="en-US"/>
        </w:rPr>
        <w:t xml:space="preserve">Three independent associations for </w:t>
      </w:r>
      <w:proofErr w:type="spellStart"/>
      <w:r w:rsidRPr="00AC365D">
        <w:rPr>
          <w:lang w:val="en-US"/>
        </w:rPr>
        <w:t>Crohn's</w:t>
      </w:r>
      <w:proofErr w:type="spellEnd"/>
      <w:r w:rsidRPr="00AC365D">
        <w:rPr>
          <w:lang w:val="en-US"/>
        </w:rPr>
        <w:t xml:space="preserve"> disease: a </w:t>
      </w:r>
      <w:proofErr w:type="spellStart"/>
      <w:r w:rsidRPr="00AC365D">
        <w:rPr>
          <w:lang w:val="en-US"/>
        </w:rPr>
        <w:t>frameshift</w:t>
      </w:r>
      <w:proofErr w:type="spellEnd"/>
      <w:r w:rsidRPr="00AC365D">
        <w:rPr>
          <w:lang w:val="en-US"/>
        </w:rPr>
        <w:t xml:space="preserve"> variant L1007finsC and two </w:t>
      </w:r>
      <w:proofErr w:type="spellStart"/>
      <w:r w:rsidRPr="00AC365D">
        <w:rPr>
          <w:lang w:val="en-US"/>
        </w:rPr>
        <w:t>missense</w:t>
      </w:r>
      <w:proofErr w:type="spellEnd"/>
      <w:r w:rsidRPr="00AC365D">
        <w:rPr>
          <w:lang w:val="en-US"/>
        </w:rPr>
        <w:t xml:space="preserve"> variants </w:t>
      </w:r>
      <w:proofErr w:type="gramStart"/>
      <w:r w:rsidRPr="00AC365D">
        <w:rPr>
          <w:lang w:val="en-US"/>
        </w:rPr>
        <w:t>( R702W</w:t>
      </w:r>
      <w:proofErr w:type="gramEnd"/>
      <w:r w:rsidRPr="00AC365D">
        <w:rPr>
          <w:lang w:val="en-US"/>
        </w:rPr>
        <w:t>, G908R  ) of NOD2</w:t>
      </w:r>
      <w:r w:rsidR="00221538">
        <w:rPr>
          <w:lang w:val="en-US"/>
        </w:rPr>
        <w:t>.</w:t>
      </w:r>
      <w:r w:rsidRPr="00AC365D">
        <w:rPr>
          <w:lang w:val="en-US"/>
        </w:rPr>
        <w:t xml:space="preserve"> </w:t>
      </w:r>
    </w:p>
    <w:p w:rsidR="00AC365D" w:rsidRDefault="00AC365D" w:rsidP="00AC365D">
      <w:pPr>
        <w:ind w:left="-288" w:right="-993"/>
        <w:rPr>
          <w:lang w:val="en-US"/>
        </w:rPr>
      </w:pPr>
      <w:r w:rsidRPr="00AC365D">
        <w:rPr>
          <w:lang w:val="en-US"/>
        </w:rPr>
        <w:t xml:space="preserve">To evaluate the role of genetic factors in the pathogenesis of </w:t>
      </w:r>
      <w:proofErr w:type="spellStart"/>
      <w:r w:rsidRPr="00AC365D">
        <w:rPr>
          <w:lang w:val="en-US"/>
        </w:rPr>
        <w:t>Crohn’s</w:t>
      </w:r>
      <w:proofErr w:type="spellEnd"/>
      <w:r w:rsidRPr="00AC365D">
        <w:rPr>
          <w:lang w:val="en-US"/>
        </w:rPr>
        <w:t xml:space="preserve"> disease (CD) and ulcerative colitis (UC), we investigated the single nucleotide polymorphisms (SNPs) of NOD2/CARD15 (</w:t>
      </w:r>
      <w:proofErr w:type="gramStart"/>
      <w:r w:rsidRPr="00AC365D">
        <w:rPr>
          <w:lang w:val="en-US"/>
        </w:rPr>
        <w:t>R702W )</w:t>
      </w:r>
      <w:proofErr w:type="gramEnd"/>
      <w:r w:rsidRPr="00AC365D">
        <w:rPr>
          <w:lang w:val="en-US"/>
        </w:rPr>
        <w:t xml:space="preserve">, in a selected inflammatory bowel disease (IBD) </w:t>
      </w:r>
      <w:proofErr w:type="spellStart"/>
      <w:r w:rsidRPr="00AC365D">
        <w:rPr>
          <w:lang w:val="en-US"/>
        </w:rPr>
        <w:t>algerian</w:t>
      </w:r>
      <w:proofErr w:type="spellEnd"/>
      <w:r w:rsidRPr="00AC365D">
        <w:rPr>
          <w:lang w:val="en-US"/>
        </w:rPr>
        <w:t xml:space="preserve"> population. DNA was obtained from 120 patients with IBD, and 40 healthy individuals. Genotyping was performed by PCR-RFLP analysis. Allele and genotype frequencies of NOD2/C</w:t>
      </w:r>
      <w:r w:rsidR="00D10782">
        <w:rPr>
          <w:lang w:val="en-US"/>
        </w:rPr>
        <w:t xml:space="preserve">ARD15 (R702W) SNPs (rs2066844) </w:t>
      </w:r>
      <w:r w:rsidRPr="00AC365D">
        <w:rPr>
          <w:lang w:val="en-US"/>
        </w:rPr>
        <w:t xml:space="preserve">were examined in </w:t>
      </w:r>
      <w:r w:rsidR="00577CA8">
        <w:rPr>
          <w:lang w:val="en-US"/>
        </w:rPr>
        <w:t xml:space="preserve">31 </w:t>
      </w:r>
      <w:r w:rsidRPr="00AC365D">
        <w:rPr>
          <w:lang w:val="en-US"/>
        </w:rPr>
        <w:t>IBD patients, and in</w:t>
      </w:r>
      <w:r w:rsidR="00577CA8">
        <w:rPr>
          <w:lang w:val="en-US"/>
        </w:rPr>
        <w:t xml:space="preserve"> 31</w:t>
      </w:r>
      <w:r w:rsidRPr="00AC365D">
        <w:rPr>
          <w:lang w:val="en-US"/>
        </w:rPr>
        <w:t xml:space="preserve"> healthy controls. </w:t>
      </w:r>
    </w:p>
    <w:p w:rsidR="00221538" w:rsidRPr="00AC365D" w:rsidRDefault="00221538" w:rsidP="00AC365D">
      <w:pPr>
        <w:ind w:left="-288" w:right="-993"/>
        <w:rPr>
          <w:lang w:val="en-US"/>
        </w:rPr>
      </w:pPr>
      <w:r>
        <w:rPr>
          <w:lang w:val="en-US"/>
        </w:rPr>
        <w:t xml:space="preserve">Moreover, the aim of this study was to evaluate </w:t>
      </w:r>
      <w:r w:rsidRPr="00D10782">
        <w:rPr>
          <w:i/>
          <w:lang w:val="en-US"/>
        </w:rPr>
        <w:t>in vivo</w:t>
      </w:r>
      <w:r>
        <w:rPr>
          <w:lang w:val="en-US"/>
        </w:rPr>
        <w:t>, nitric oxide in IBD patients</w:t>
      </w:r>
      <w:r w:rsidR="00D10782" w:rsidRPr="00D10782">
        <w:rPr>
          <w:lang w:val="en-US"/>
        </w:rPr>
        <w:t xml:space="preserve"> and in patient carrying the mutation</w:t>
      </w:r>
      <w:r>
        <w:rPr>
          <w:lang w:val="en-US"/>
        </w:rPr>
        <w:t xml:space="preserve"> </w:t>
      </w:r>
      <w:r w:rsidR="00D10782" w:rsidRPr="00AC365D">
        <w:rPr>
          <w:lang w:val="en-US"/>
        </w:rPr>
        <w:t>R702W</w:t>
      </w:r>
      <w:r w:rsidR="00D10782">
        <w:rPr>
          <w:lang w:val="en-US"/>
        </w:rPr>
        <w:t>.</w:t>
      </w:r>
    </w:p>
    <w:p w:rsidR="00AC365D" w:rsidRDefault="00AC365D" w:rsidP="00AC365D">
      <w:pPr>
        <w:ind w:left="-288" w:right="-993"/>
        <w:rPr>
          <w:lang w:val="en-US"/>
        </w:rPr>
      </w:pPr>
    </w:p>
    <w:p w:rsidR="00AC365D" w:rsidRDefault="00D10782" w:rsidP="00AC365D">
      <w:pPr>
        <w:ind w:left="-288" w:right="-993"/>
        <w:rPr>
          <w:lang w:val="en-US"/>
        </w:rPr>
      </w:pPr>
      <w:r>
        <w:rPr>
          <w:lang w:val="en-US"/>
        </w:rPr>
        <w:t>Our study shows that, t</w:t>
      </w:r>
      <w:r w:rsidR="00AC365D" w:rsidRPr="00AC365D">
        <w:rPr>
          <w:lang w:val="en-US"/>
        </w:rPr>
        <w:t xml:space="preserve">he rs2066844 </w:t>
      </w:r>
      <w:r w:rsidR="00577CA8" w:rsidRPr="00AC365D">
        <w:rPr>
          <w:lang w:val="en-US"/>
        </w:rPr>
        <w:t xml:space="preserve">(R702W) </w:t>
      </w:r>
      <w:r w:rsidR="00AC365D" w:rsidRPr="00AC365D">
        <w:rPr>
          <w:lang w:val="en-US"/>
        </w:rPr>
        <w:t>polymorphi</w:t>
      </w:r>
      <w:r w:rsidR="00AC365D">
        <w:rPr>
          <w:lang w:val="en-US"/>
        </w:rPr>
        <w:t>s</w:t>
      </w:r>
      <w:r w:rsidR="00AC365D" w:rsidRPr="00AC365D">
        <w:rPr>
          <w:lang w:val="en-US"/>
        </w:rPr>
        <w:t>m was more common in patients with IBD than in the control population.</w:t>
      </w:r>
      <w:r>
        <w:rPr>
          <w:lang w:val="en-US"/>
        </w:rPr>
        <w:t xml:space="preserve"> Moreover we found a significant NO production </w:t>
      </w:r>
      <w:r w:rsidRPr="00D10782">
        <w:rPr>
          <w:i/>
          <w:lang w:val="en-US"/>
        </w:rPr>
        <w:t>in vivo</w:t>
      </w:r>
      <w:r>
        <w:rPr>
          <w:lang w:val="en-US"/>
        </w:rPr>
        <w:t xml:space="preserve"> in the two categories of patients with different </w:t>
      </w:r>
      <w:proofErr w:type="gramStart"/>
      <w:r>
        <w:rPr>
          <w:lang w:val="en-US"/>
        </w:rPr>
        <w:t>levels,</w:t>
      </w:r>
      <w:proofErr w:type="gramEnd"/>
      <w:r>
        <w:rPr>
          <w:lang w:val="en-US"/>
        </w:rPr>
        <w:t xml:space="preserve"> Furthermore this production was higher </w:t>
      </w:r>
      <w:r w:rsidRPr="00D10782">
        <w:rPr>
          <w:lang w:val="en-US"/>
        </w:rPr>
        <w:t>in patients carrying the mutation</w:t>
      </w:r>
      <w:r>
        <w:rPr>
          <w:lang w:val="en-US"/>
        </w:rPr>
        <w:t xml:space="preserve"> R702W. </w:t>
      </w:r>
    </w:p>
    <w:p w:rsidR="00D10782" w:rsidRPr="00AC365D" w:rsidRDefault="00D10782" w:rsidP="00AC365D">
      <w:pPr>
        <w:ind w:left="-288" w:right="-993"/>
        <w:rPr>
          <w:lang w:val="en-US"/>
        </w:rPr>
      </w:pPr>
      <w:r>
        <w:rPr>
          <w:lang w:val="en-US"/>
        </w:rPr>
        <w:t xml:space="preserve">Our results suggest </w:t>
      </w:r>
      <w:r w:rsidR="00771160">
        <w:rPr>
          <w:lang w:val="en-US"/>
        </w:rPr>
        <w:t xml:space="preserve">the possible involvement of the gene NOD2/CARD15 in our population and the </w:t>
      </w:r>
      <w:proofErr w:type="spellStart"/>
      <w:r w:rsidR="00771160">
        <w:rPr>
          <w:lang w:val="en-US"/>
        </w:rPr>
        <w:t>implacation</w:t>
      </w:r>
      <w:proofErr w:type="spellEnd"/>
      <w:r w:rsidR="00771160">
        <w:rPr>
          <w:lang w:val="en-US"/>
        </w:rPr>
        <w:t xml:space="preserve"> of NO in </w:t>
      </w:r>
      <w:proofErr w:type="spellStart"/>
      <w:r w:rsidR="00771160">
        <w:rPr>
          <w:lang w:val="en-US"/>
        </w:rPr>
        <w:t>immuno-pathophysiology</w:t>
      </w:r>
      <w:proofErr w:type="spellEnd"/>
      <w:r w:rsidR="00771160">
        <w:rPr>
          <w:lang w:val="en-US"/>
        </w:rPr>
        <w:t xml:space="preserve"> disorder of IBD disease.</w:t>
      </w:r>
    </w:p>
    <w:p w:rsidR="00AC365D" w:rsidRDefault="00AC365D" w:rsidP="00AC365D">
      <w:pPr>
        <w:ind w:left="-288" w:right="-993"/>
        <w:rPr>
          <w:lang w:val="en-US"/>
        </w:rPr>
      </w:pPr>
    </w:p>
    <w:p w:rsidR="00771160" w:rsidRPr="00AC365D" w:rsidRDefault="00771160" w:rsidP="00771160">
      <w:pPr>
        <w:ind w:left="-288" w:right="-993"/>
        <w:rPr>
          <w:lang w:val="en-US"/>
        </w:rPr>
      </w:pPr>
      <w:r w:rsidRPr="00AC365D">
        <w:rPr>
          <w:b/>
          <w:lang w:val="en-US"/>
        </w:rPr>
        <w:t>Keywords:</w:t>
      </w:r>
      <w:r w:rsidRPr="00AC365D">
        <w:rPr>
          <w:lang w:val="en-US"/>
        </w:rPr>
        <w:t xml:space="preserve"> NOD2/CARD15, Polymorphism</w:t>
      </w:r>
      <w:proofErr w:type="gramStart"/>
      <w:r w:rsidRPr="00AC365D">
        <w:rPr>
          <w:lang w:val="en-US"/>
        </w:rPr>
        <w:t>,  Inflammatory</w:t>
      </w:r>
      <w:proofErr w:type="gramEnd"/>
      <w:r w:rsidRPr="00AC365D">
        <w:rPr>
          <w:lang w:val="en-US"/>
        </w:rPr>
        <w:t xml:space="preserve"> bowel diseases, SNP</w:t>
      </w:r>
    </w:p>
    <w:p w:rsidR="00D10782" w:rsidRDefault="00D10782" w:rsidP="00AC365D">
      <w:pPr>
        <w:ind w:left="-288" w:right="-993"/>
        <w:rPr>
          <w:lang w:val="en-US"/>
        </w:rPr>
      </w:pPr>
    </w:p>
    <w:p w:rsidR="00D10782" w:rsidRPr="00AC365D" w:rsidRDefault="00D10782" w:rsidP="00AC365D">
      <w:pPr>
        <w:ind w:left="-288" w:right="-993"/>
        <w:rPr>
          <w:lang w:val="en-US"/>
        </w:rPr>
      </w:pPr>
    </w:p>
    <w:p w:rsidR="00AC365D" w:rsidRPr="00AC365D" w:rsidRDefault="00AC365D" w:rsidP="00AC365D">
      <w:pPr>
        <w:ind w:left="-288" w:right="-993"/>
        <w:rPr>
          <w:lang w:val="en-US"/>
        </w:rPr>
      </w:pPr>
    </w:p>
    <w:sectPr w:rsidR="00AC365D" w:rsidRPr="00AC365D" w:rsidSect="006E3D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imesNewRomanPS-BoldMT">
    <w:altName w:val="Times New Roman"/>
    <w:panose1 w:val="00000000000000000000"/>
    <w:charset w:val="B2"/>
    <w:family w:val="auto"/>
    <w:notTrueType/>
    <w:pitch w:val="default"/>
    <w:sig w:usb0="00002003" w:usb1="00000000" w:usb2="00000000" w:usb3="00000000" w:csb0="00000041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abic11 BT">
    <w:altName w:val="Times New Roman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characterSpacingControl w:val="doNotCompress"/>
  <w:compat/>
  <w:rsids>
    <w:rsidRoot w:val="003364D9"/>
    <w:rsid w:val="000173A7"/>
    <w:rsid w:val="000B2BB2"/>
    <w:rsid w:val="00221538"/>
    <w:rsid w:val="002750E3"/>
    <w:rsid w:val="003364D9"/>
    <w:rsid w:val="004B0792"/>
    <w:rsid w:val="00577CA8"/>
    <w:rsid w:val="006E3D5E"/>
    <w:rsid w:val="00711909"/>
    <w:rsid w:val="0074778F"/>
    <w:rsid w:val="00771160"/>
    <w:rsid w:val="007E7D54"/>
    <w:rsid w:val="00803305"/>
    <w:rsid w:val="00AC365D"/>
    <w:rsid w:val="00B15F9A"/>
    <w:rsid w:val="00B86081"/>
    <w:rsid w:val="00C60D5E"/>
    <w:rsid w:val="00C97A53"/>
    <w:rsid w:val="00D10782"/>
    <w:rsid w:val="00D66FA1"/>
    <w:rsid w:val="00E13E9C"/>
    <w:rsid w:val="00EC17D7"/>
    <w:rsid w:val="00EE13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364D9"/>
    <w:rPr>
      <w:sz w:val="24"/>
      <w:szCs w:val="24"/>
    </w:rPr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hps">
    <w:name w:val="hps"/>
    <w:basedOn w:val="Policepardfaut"/>
    <w:rsid w:val="004B0792"/>
  </w:style>
  <w:style w:type="character" w:styleId="Lienhypertexte">
    <w:name w:val="Hyperlink"/>
    <w:basedOn w:val="Policepardfaut"/>
    <w:rsid w:val="0022153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540</Words>
  <Characters>2975</Characters>
  <Application>Microsoft Office Word</Application>
  <DocSecurity>0</DocSecurity>
  <Lines>24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ملخص :</vt:lpstr>
    </vt:vector>
  </TitlesOfParts>
  <Company>HOME</Company>
  <LinksUpToDate>false</LinksUpToDate>
  <CharactersWithSpaces>3508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ملخص :</dc:title>
  <dc:creator>RAFA</dc:creator>
  <cp:lastModifiedBy>sarahben</cp:lastModifiedBy>
  <cp:revision>5</cp:revision>
  <dcterms:created xsi:type="dcterms:W3CDTF">2012-03-04T11:26:00Z</dcterms:created>
  <dcterms:modified xsi:type="dcterms:W3CDTF">2012-06-11T08:55:00Z</dcterms:modified>
</cp:coreProperties>
</file>