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D1B" w:rsidRPr="000A3D1B" w:rsidRDefault="000A3D1B" w:rsidP="000A3D1B">
      <w:pPr>
        <w:bidi w:val="0"/>
        <w:rPr>
          <w:lang w:val="fr-FR" w:bidi="ar-DZ"/>
        </w:rPr>
      </w:pPr>
      <w:r w:rsidRPr="000A3D1B">
        <w:rPr>
          <w:lang w:val="fr-FR" w:bidi="ar-DZ"/>
        </w:rPr>
        <w:t>Nombreuses études se sont focalisées sur la communication électronique entre deux sites d'un système de molécules à deux centres métalliques qui sont des composés dit à valence-mixte, parmi les systèmes moléculaires incorporant des metallocènes on trouve  les biferrocènes(C20H18Fe2), ses monocations (biferrocenium).</w:t>
      </w:r>
    </w:p>
    <w:p w:rsidR="000A3D1B" w:rsidRPr="000A3D1B" w:rsidRDefault="000A3D1B" w:rsidP="000A3D1B">
      <w:pPr>
        <w:bidi w:val="0"/>
        <w:rPr>
          <w:lang w:val="fr-FR" w:bidi="ar-DZ"/>
        </w:rPr>
      </w:pPr>
      <w:r w:rsidRPr="000A3D1B">
        <w:rPr>
          <w:lang w:val="fr-FR" w:bidi="ar-DZ"/>
        </w:rPr>
        <w:t>Ces composés  contiennent simultanément deux sortes d'atomes de fer, Fe(II) et Fe(III), les interactions intramoléculaires entre métaux voisins d'un bimetallocène ont été étudiées dans le cadre de transfert d'électron. Ces complexes sont  utilisés  dans les domaines des semi-conducteurs, des  aimants organiques et dans les matériaux  à propriétés d'optique non-linéaire.</w:t>
      </w:r>
    </w:p>
    <w:p w:rsidR="000A3D1B" w:rsidRPr="000A3D1B" w:rsidRDefault="000A3D1B" w:rsidP="000A3D1B">
      <w:pPr>
        <w:bidi w:val="0"/>
        <w:rPr>
          <w:lang w:val="fr-FR" w:bidi="ar-DZ"/>
        </w:rPr>
      </w:pPr>
      <w:r w:rsidRPr="000A3D1B">
        <w:rPr>
          <w:lang w:val="fr-FR" w:bidi="ar-DZ"/>
        </w:rPr>
        <w:t>Vu son importance dans les systèmes chimiques, biologiques, et leur vaste application en électronique moléculaire le transfert d'électron dans les  biferrocènes a  attiré  l'attention de nombreux chercheurs. Le couple redox biferrocène/biferrocenium à été étudié expérimentalement dans le cadre de la cinétique et la dynamique du transfert des électrons</w:t>
      </w:r>
    </w:p>
    <w:p w:rsidR="000A3D1B" w:rsidRPr="000A3D1B" w:rsidRDefault="000A3D1B" w:rsidP="000A3D1B">
      <w:pPr>
        <w:bidi w:val="0"/>
        <w:rPr>
          <w:lang w:val="fr-FR" w:bidi="ar-DZ"/>
        </w:rPr>
      </w:pPr>
      <w:r w:rsidRPr="000A3D1B">
        <w:rPr>
          <w:lang w:val="fr-FR" w:bidi="ar-DZ"/>
        </w:rPr>
        <w:t xml:space="preserve">en solution. </w:t>
      </w:r>
    </w:p>
    <w:p w:rsidR="000A3D1B" w:rsidRPr="000A3D1B" w:rsidRDefault="000A3D1B" w:rsidP="000A3D1B">
      <w:pPr>
        <w:bidi w:val="0"/>
        <w:rPr>
          <w:lang w:val="fr-FR" w:bidi="ar-DZ"/>
        </w:rPr>
      </w:pPr>
      <w:r w:rsidRPr="000A3D1B">
        <w:rPr>
          <w:lang w:val="fr-FR" w:bidi="ar-DZ"/>
        </w:rPr>
        <w:t>Les travaux rapportés dans ce mémoire consistent en l'étude théorique  du transfert d'électron dans le couple biferrocenium / biferrocène. Dans leur majorité  les calculs ont été réalisés à l'aide de Théorie de la Fonctionnelle de la Densité(DFT). Cette méthode  a été choisie  à cause de son impulsion et son succès  dans le domaine  des organométalliques, en particulier, ceux à valence mixte. Ce qui a été prouvé, antérieurement, par divers équipes de recherche. Le choix de la base est relatif aux résultats obtenus après optimisation complète     des géométries des systèmes au niveau B3LYP moyennant plusieurs bases. La base retenue pour la suite des calculs est la  6-31G (d, p).  Ses résultats sont en bon accord avec les données cristallographiques.</w:t>
      </w:r>
    </w:p>
    <w:p w:rsidR="000A3D1B" w:rsidRPr="000A3D1B" w:rsidRDefault="000A3D1B" w:rsidP="000A3D1B">
      <w:pPr>
        <w:bidi w:val="0"/>
        <w:rPr>
          <w:lang w:val="fr-FR" w:bidi="ar-DZ"/>
        </w:rPr>
      </w:pPr>
      <w:r w:rsidRPr="000A3D1B">
        <w:rPr>
          <w:lang w:val="fr-FR" w:bidi="ar-DZ"/>
        </w:rPr>
        <w:t>Notre étude a été menée  en premier sur les systèmes pris dans leur état isolé.</w:t>
      </w:r>
    </w:p>
    <w:p w:rsidR="000A3D1B" w:rsidRPr="000A3D1B" w:rsidRDefault="000A3D1B" w:rsidP="000A3D1B">
      <w:pPr>
        <w:bidi w:val="0"/>
        <w:rPr>
          <w:lang w:val="fr-FR" w:bidi="ar-DZ"/>
        </w:rPr>
      </w:pPr>
      <w:r w:rsidRPr="000A3D1B">
        <w:rPr>
          <w:lang w:val="fr-FR" w:bidi="ar-DZ"/>
        </w:rPr>
        <w:t xml:space="preserve">Une optimisation complète des paramètres géométriques a conduit à une conformation </w:t>
      </w:r>
    </w:p>
    <w:p w:rsidR="000A3D1B" w:rsidRPr="000A3D1B" w:rsidRDefault="000A3D1B" w:rsidP="000A3D1B">
      <w:pPr>
        <w:bidi w:val="0"/>
        <w:rPr>
          <w:lang w:val="fr-FR" w:bidi="ar-DZ"/>
        </w:rPr>
      </w:pPr>
      <w:r w:rsidRPr="000A3D1B">
        <w:rPr>
          <w:lang w:val="fr-FR" w:bidi="ar-DZ"/>
        </w:rPr>
        <w:t>transoïde  pour les systèmes neutres. Les paramètres géométriques du cation sont en bon accord avec les données expérimentales mais ne donnent  pas la bonne conformation.</w:t>
      </w:r>
    </w:p>
    <w:p w:rsidR="000A3D1B" w:rsidRPr="000A3D1B" w:rsidRDefault="000A3D1B" w:rsidP="000A3D1B">
      <w:pPr>
        <w:bidi w:val="0"/>
        <w:rPr>
          <w:lang w:val="fr-FR" w:bidi="ar-DZ"/>
        </w:rPr>
      </w:pPr>
      <w:r w:rsidRPr="000A3D1B">
        <w:rPr>
          <w:lang w:val="fr-FR" w:bidi="ar-DZ"/>
        </w:rPr>
        <w:t xml:space="preserve">La distribution de charge de Mulliken et NBO  sont considérés. Les fréquences de vibration </w:t>
      </w:r>
    </w:p>
    <w:p w:rsidR="000A3D1B" w:rsidRPr="000A3D1B" w:rsidRDefault="000A3D1B" w:rsidP="000A3D1B">
      <w:pPr>
        <w:bidi w:val="0"/>
        <w:rPr>
          <w:lang w:val="fr-FR" w:bidi="ar-DZ"/>
        </w:rPr>
      </w:pPr>
      <w:r w:rsidRPr="000A3D1B">
        <w:rPr>
          <w:lang w:val="fr-FR" w:bidi="ar-DZ"/>
        </w:rPr>
        <w:t>IR  sont décrits de façon satisfaisante  par comparaison aux spectres expérimentaux.</w:t>
      </w:r>
    </w:p>
    <w:p w:rsidR="000A3D1B" w:rsidRPr="000A3D1B" w:rsidRDefault="000A3D1B" w:rsidP="000A3D1B">
      <w:pPr>
        <w:bidi w:val="0"/>
        <w:rPr>
          <w:lang w:val="fr-FR" w:bidi="ar-DZ"/>
        </w:rPr>
      </w:pPr>
      <w:r w:rsidRPr="000A3D1B">
        <w:rPr>
          <w:lang w:val="fr-FR" w:bidi="ar-DZ"/>
        </w:rPr>
        <w:t>Par la suite une étude du système à l'état liquide a été menée.</w:t>
      </w:r>
    </w:p>
    <w:p w:rsidR="00F1504E" w:rsidRPr="000A3D1B" w:rsidRDefault="000A3D1B" w:rsidP="000A3D1B">
      <w:pPr>
        <w:bidi w:val="0"/>
        <w:rPr>
          <w:rFonts w:hint="cs"/>
          <w:lang w:val="fr-FR" w:bidi="ar-DZ"/>
        </w:rPr>
      </w:pPr>
      <w:r w:rsidRPr="000A3D1B">
        <w:rPr>
          <w:lang w:val="fr-FR" w:bidi="ar-DZ"/>
        </w:rPr>
        <w:t>L'implication explicite du solvant dans la réactivité chimique tant en chimie, qu'en biologie, le Modèle Continuum Polarisable (PCM) a été utilisée pour mieux expliquer  le rôle des effets de solvant.</w:t>
      </w:r>
    </w:p>
    <w:sectPr w:rsidR="00F1504E" w:rsidRPr="000A3D1B"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0A3D1B"/>
    <w:rsid w:val="000A3D1B"/>
    <w:rsid w:val="005F47AF"/>
    <w:rsid w:val="00F1504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04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387</Words>
  <Characters>2208</Characters>
  <Application>Microsoft Office Word</Application>
  <DocSecurity>0</DocSecurity>
  <Lines>18</Lines>
  <Paragraphs>5</Paragraphs>
  <ScaleCrop>false</ScaleCrop>
  <Company/>
  <LinksUpToDate>false</LinksUpToDate>
  <CharactersWithSpaces>2590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2016-01-04T09:43:00Z</dcterms:created>
  <dcterms:modified xsi:type="dcterms:W3CDTF">2016-01-04T09:44:00Z</dcterms:modified>
</cp:coreProperties>
</file>