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0548" w:rsidRDefault="00410548" w:rsidP="00410548">
      <w:r>
        <w:t xml:space="preserve">Notre travail a pour but la contribution à la mise en place d'une base de données spécifique à la pollution, appliquée à la baie d'Alger sous une interface SIG. La base de données réalisée, est composée par les valeurs des concentrations des différents polluants, des paramètres physico-chimiques, des cartes du type de fond marin et carte du trait de côte (réalisée à partir d'image satellite). L'ensemble des données et cartes est intégrées et traitées par le logiciel SIG "MapInfo". </w:t>
      </w:r>
    </w:p>
    <w:p w:rsidR="00410548" w:rsidRDefault="00410548" w:rsidP="00410548">
      <w:r>
        <w:t xml:space="preserve">Des requêtes, sont utilisées  pour lier les variables qualitatives aux variables quantitatives, ainsi pour l'extraction des informations thématique et spatiale.   Ces requêtes nous ont permis aussi de comparer les concentrations des différents polluants aux normes internationales. </w:t>
      </w:r>
    </w:p>
    <w:p w:rsidR="00410548" w:rsidRDefault="00410548" w:rsidP="00410548">
      <w:r>
        <w:t xml:space="preserve">Les méthodes statistiques descriptives et inférentielles sont appliquées pour le suivi diachronique de la pollution. On a enregistré une augmentation des concentrations des hydrocarbures et de la matière en suspension qui ont passé respectivement de 0.39 mg/l et 16.31 mg/l en 1990  à 11.8 mg/l et 43.39 mg/l en 2002. </w:t>
      </w:r>
    </w:p>
    <w:p w:rsidR="003B1ED4" w:rsidRDefault="00410548" w:rsidP="00410548">
      <w:r>
        <w:t>L'analyse géostatistique effectuée par le logiciel Surfer, nous a permis d'établir des cartes de distribution spatiale des polluants. L'analyse de cartes obtenues a mis en évidence l'influence des rejets dans la baie sur la répartition des métaux lourds, des hydrocarbures et les sels nutritifs. Nous avons aussi constaté, que la concentration des métaux lourds est toujours élevée au centre de la baie qu'aux restes de la baie, cela s'explique par l'hydrodynamisme conditionné par la forme semi-circulaire de la baie.</w:t>
      </w:r>
    </w:p>
    <w:sectPr w:rsidR="003B1ED4" w:rsidSect="003B1ED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410548"/>
    <w:rsid w:val="003B1ED4"/>
    <w:rsid w:val="0041054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1ED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247</Words>
  <Characters>1361</Characters>
  <Application>Microsoft Office Word</Application>
  <DocSecurity>0</DocSecurity>
  <Lines>11</Lines>
  <Paragraphs>3</Paragraphs>
  <ScaleCrop>false</ScaleCrop>
  <Company/>
  <LinksUpToDate>false</LinksUpToDate>
  <CharactersWithSpaces>1605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2015-01-12T13:01:00Z</dcterms:created>
  <dcterms:modified xsi:type="dcterms:W3CDTF">2015-01-12T13:02:00Z</dcterms:modified>
</cp:coreProperties>
</file>