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61B7" w:rsidRPr="006261B7" w:rsidRDefault="006261B7" w:rsidP="006261B7">
      <w:pPr>
        <w:rPr>
          <w:rFonts w:eastAsiaTheme="minorHAnsi"/>
          <w:sz w:val="28"/>
          <w:szCs w:val="28"/>
        </w:rPr>
      </w:pPr>
      <w:r w:rsidRPr="006261B7">
        <w:rPr>
          <w:rFonts w:eastAsiaTheme="minorHAnsi"/>
          <w:sz w:val="28"/>
          <w:szCs w:val="28"/>
        </w:rPr>
        <w:t>L'oxydation partielle du méthane a été longtemps étudiée comme processus conduisant à la formation du gaz de synthèse qui peut être converti en produits chimiques de forte valeur ajoutée. Plus récemment l'oxydation partielle du méthane est étudiée aussi comme l'un des procédés de production d'hydrogène destiné à être utilisé dans les  piles à combustibles.</w:t>
      </w:r>
    </w:p>
    <w:p w:rsidR="006261B7" w:rsidRPr="006261B7" w:rsidRDefault="006261B7" w:rsidP="006261B7">
      <w:pPr>
        <w:rPr>
          <w:rFonts w:eastAsiaTheme="minorHAnsi"/>
          <w:sz w:val="28"/>
          <w:szCs w:val="28"/>
        </w:rPr>
      </w:pPr>
      <w:r w:rsidRPr="006261B7">
        <w:rPr>
          <w:rFonts w:eastAsiaTheme="minorHAnsi"/>
          <w:sz w:val="28"/>
          <w:szCs w:val="28"/>
        </w:rPr>
        <w:t xml:space="preserve">Cette réaction se fait en présence de métaux nobles tels que Pt, Pd, et Rh et de métaux de transition et tel que le Ni, Co et Fe. Les catalyseurs  à base des métaux de transition présentent l'inconvénient de se désactiver par déposition de carbone et frittage de la phase active. Une bonne dispersion de la phase active peut résulter d'une forte interaction entre la phase active et le support. Cette interaction peut résulter de l'insertion de la phase active dans une structure </w:t>
      </w:r>
      <w:proofErr w:type="gramStart"/>
      <w:r w:rsidRPr="006261B7">
        <w:rPr>
          <w:rFonts w:eastAsiaTheme="minorHAnsi"/>
          <w:sz w:val="28"/>
          <w:szCs w:val="28"/>
        </w:rPr>
        <w:t>définie .</w:t>
      </w:r>
      <w:proofErr w:type="gramEnd"/>
      <w:r w:rsidRPr="006261B7">
        <w:rPr>
          <w:rFonts w:eastAsiaTheme="minorHAnsi"/>
          <w:sz w:val="28"/>
          <w:szCs w:val="28"/>
        </w:rPr>
        <w:t xml:space="preserve"> </w:t>
      </w:r>
    </w:p>
    <w:p w:rsidR="006261B7" w:rsidRPr="006261B7" w:rsidRDefault="006261B7" w:rsidP="006261B7">
      <w:pPr>
        <w:rPr>
          <w:rFonts w:eastAsiaTheme="minorHAnsi"/>
          <w:sz w:val="28"/>
          <w:szCs w:val="28"/>
        </w:rPr>
      </w:pPr>
      <w:r w:rsidRPr="006261B7">
        <w:rPr>
          <w:rFonts w:eastAsiaTheme="minorHAnsi"/>
          <w:sz w:val="28"/>
          <w:szCs w:val="28"/>
        </w:rPr>
        <w:t xml:space="preserve">Dans ce travail, nous avons choisi d'étudier des solides de type </w:t>
      </w:r>
      <w:proofErr w:type="spellStart"/>
      <w:r w:rsidRPr="006261B7">
        <w:rPr>
          <w:rFonts w:eastAsiaTheme="minorHAnsi"/>
          <w:sz w:val="28"/>
          <w:szCs w:val="28"/>
        </w:rPr>
        <w:t>hexaaluminate</w:t>
      </w:r>
      <w:proofErr w:type="spellEnd"/>
      <w:r w:rsidRPr="006261B7">
        <w:rPr>
          <w:rFonts w:eastAsiaTheme="minorHAnsi"/>
          <w:sz w:val="28"/>
          <w:szCs w:val="28"/>
        </w:rPr>
        <w:t xml:space="preserve"> modifiés par le nickel et le rhodium.  Les </w:t>
      </w:r>
      <w:proofErr w:type="spellStart"/>
      <w:r w:rsidRPr="006261B7">
        <w:rPr>
          <w:rFonts w:eastAsiaTheme="minorHAnsi"/>
          <w:sz w:val="28"/>
          <w:szCs w:val="28"/>
        </w:rPr>
        <w:t>hexaaluminates</w:t>
      </w:r>
      <w:proofErr w:type="spellEnd"/>
      <w:r w:rsidRPr="006261B7">
        <w:rPr>
          <w:rFonts w:eastAsiaTheme="minorHAnsi"/>
          <w:sz w:val="28"/>
          <w:szCs w:val="28"/>
        </w:rPr>
        <w:t xml:space="preserve"> ont suscité un grand intérêt pour être utilisés comme support catalytique car ils possèdent une bonne stabilité thermique et une résistance au frittage même après chauffage prolongé à 1600°C.</w:t>
      </w:r>
    </w:p>
    <w:p w:rsidR="006261B7" w:rsidRPr="006261B7" w:rsidRDefault="006261B7" w:rsidP="006261B7">
      <w:pPr>
        <w:rPr>
          <w:rFonts w:eastAsiaTheme="minorHAnsi"/>
          <w:sz w:val="28"/>
          <w:szCs w:val="28"/>
        </w:rPr>
      </w:pPr>
      <w:r w:rsidRPr="006261B7">
        <w:rPr>
          <w:rFonts w:eastAsiaTheme="minorHAnsi"/>
          <w:sz w:val="28"/>
          <w:szCs w:val="28"/>
        </w:rPr>
        <w:t>Nous avons utilisé la méthode citrates pour préparer des solides MxBaAl12-</w:t>
      </w:r>
      <w:proofErr w:type="spellStart"/>
      <w:r w:rsidRPr="006261B7">
        <w:rPr>
          <w:rFonts w:eastAsiaTheme="minorHAnsi"/>
          <w:sz w:val="28"/>
          <w:szCs w:val="28"/>
        </w:rPr>
        <w:t>xOy</w:t>
      </w:r>
      <w:proofErr w:type="spellEnd"/>
      <w:r w:rsidRPr="006261B7">
        <w:rPr>
          <w:rFonts w:eastAsiaTheme="minorHAnsi"/>
          <w:sz w:val="28"/>
          <w:szCs w:val="28"/>
        </w:rPr>
        <w:t xml:space="preserve"> (M=Rh, Ni ; x=0.05 </w:t>
      </w:r>
      <w:proofErr w:type="gramStart"/>
      <w:r w:rsidRPr="006261B7">
        <w:rPr>
          <w:rFonts w:eastAsiaTheme="minorHAnsi"/>
          <w:sz w:val="28"/>
          <w:szCs w:val="28"/>
        </w:rPr>
        <w:t>;0.1</w:t>
      </w:r>
      <w:proofErr w:type="gramEnd"/>
      <w:r w:rsidRPr="006261B7">
        <w:rPr>
          <w:rFonts w:eastAsiaTheme="minorHAnsi"/>
          <w:sz w:val="28"/>
          <w:szCs w:val="28"/>
        </w:rPr>
        <w:t xml:space="preserve"> ;0.15), ces solides ont été calcinés à 1000, 1300 et 1400°C et caractérisés par DRX, BET et TPR. Les catalyseurs ont été testés dans la réaction d'oxydation partielle du méthane entre 400-800°C en utilisant un rapport CH4/O2=2.</w:t>
      </w:r>
    </w:p>
    <w:p w:rsidR="006261B7" w:rsidRPr="006261B7" w:rsidRDefault="006261B7" w:rsidP="006261B7">
      <w:pPr>
        <w:rPr>
          <w:rFonts w:eastAsiaTheme="minorHAnsi"/>
          <w:sz w:val="28"/>
          <w:szCs w:val="28"/>
        </w:rPr>
      </w:pPr>
      <w:r w:rsidRPr="006261B7">
        <w:rPr>
          <w:rFonts w:eastAsiaTheme="minorHAnsi"/>
          <w:sz w:val="28"/>
          <w:szCs w:val="28"/>
        </w:rPr>
        <w:t xml:space="preserve">La diffraction des rayons X a montré, qu'à 1000°C, la phase spinelle BaAl2O4 est pratiquement la seule phase cristalline formée. En augmentant la température de calcination la phase </w:t>
      </w:r>
      <w:proofErr w:type="spellStart"/>
      <w:r w:rsidRPr="006261B7">
        <w:rPr>
          <w:rFonts w:eastAsiaTheme="minorHAnsi"/>
          <w:sz w:val="28"/>
          <w:szCs w:val="28"/>
        </w:rPr>
        <w:t>hexaaluminate</w:t>
      </w:r>
      <w:proofErr w:type="spellEnd"/>
      <w:r w:rsidRPr="006261B7">
        <w:rPr>
          <w:rFonts w:eastAsiaTheme="minorHAnsi"/>
          <w:sz w:val="28"/>
          <w:szCs w:val="28"/>
        </w:rPr>
        <w:t xml:space="preserve"> BaAl12O19 se forme et à 1400°C, le solide est constitué à 90% de cette phase. Des traces   sont observées à 1400°C. Aucun oxyde de nickel ni de rhodium n'a été détecté à aucune température de calcination.</w:t>
      </w:r>
    </w:p>
    <w:p w:rsidR="006261B7" w:rsidRPr="006261B7" w:rsidRDefault="006261B7" w:rsidP="006261B7">
      <w:pPr>
        <w:rPr>
          <w:rFonts w:eastAsiaTheme="minorHAnsi"/>
          <w:sz w:val="28"/>
          <w:szCs w:val="28"/>
        </w:rPr>
      </w:pPr>
      <w:r w:rsidRPr="006261B7">
        <w:rPr>
          <w:rFonts w:eastAsiaTheme="minorHAnsi"/>
          <w:sz w:val="28"/>
          <w:szCs w:val="28"/>
        </w:rPr>
        <w:t>La mesure des aires (BET) a montré que l'élévation de la température de calcination  conduisait à des surfaces spécifiques plus faibles. Quand la température de calcination passe de 1000°C à 1400°C, les surfaces spécifiques passent de 27 à 3 m2/g pour les solides à base de nickel et de 24 à 1 m2/g pour les solides à base de rhodium.</w:t>
      </w:r>
    </w:p>
    <w:p w:rsidR="006261B7" w:rsidRPr="006261B7" w:rsidRDefault="006261B7" w:rsidP="006261B7">
      <w:pPr>
        <w:rPr>
          <w:rFonts w:eastAsiaTheme="minorHAnsi"/>
          <w:sz w:val="28"/>
          <w:szCs w:val="28"/>
        </w:rPr>
      </w:pPr>
      <w:r w:rsidRPr="006261B7">
        <w:rPr>
          <w:rFonts w:eastAsiaTheme="minorHAnsi"/>
          <w:sz w:val="28"/>
          <w:szCs w:val="28"/>
        </w:rPr>
        <w:t>Les catalyseurs testés dans l'oxydation partielle du méthane ont montré divers comportements. Pour les solides à base de rhodium, la conversion du CH4 ainsi que la sélectivité en gaz de synthèse ne semblent pas dépendre de la température de calcination : en effet des conversions autour de 95% et des sélectivités en CO de 95% sont obtenues à 800°C. Dans le cas des solides à base de nickel, la conversion du méthane atteint un maximum de 72% pour le solide calciné à 1400°C avec une sélectivité en CO 93%.</w:t>
      </w:r>
    </w:p>
    <w:p w:rsidR="00793BD2" w:rsidRPr="006261B7" w:rsidRDefault="006261B7" w:rsidP="006261B7">
      <w:pPr>
        <w:rPr>
          <w:rFonts w:eastAsiaTheme="minorHAnsi"/>
          <w:szCs w:val="32"/>
        </w:rPr>
      </w:pPr>
      <w:r w:rsidRPr="006261B7">
        <w:rPr>
          <w:rFonts w:eastAsiaTheme="minorHAnsi"/>
          <w:sz w:val="28"/>
          <w:szCs w:val="28"/>
        </w:rPr>
        <w:t>Les catalyseurs BaNi0.15Al11.85Oy et BaRh0.15Al11.85Oy montrent une stabilité remarquable de leur activité catalytique après 100 heures de réaction à 800°C.</w:t>
      </w:r>
    </w:p>
    <w:sectPr w:rsidR="00793BD2" w:rsidRPr="006261B7" w:rsidSect="00B47601">
      <w:pgSz w:w="11906" w:h="16838"/>
      <w:pgMar w:top="1440" w:right="1080" w:bottom="1440" w:left="108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56"/>
  <w:proofState w:spelling="clean" w:grammar="clean"/>
  <w:defaultTabStop w:val="720"/>
  <w:drawingGridHorizontalSpacing w:val="100"/>
  <w:displayHorizontalDrawingGridEvery w:val="2"/>
  <w:characterSpacingControl w:val="doNotCompress"/>
  <w:compat/>
  <w:rsids>
    <w:rsidRoot w:val="006A108A"/>
    <w:rsid w:val="00047738"/>
    <w:rsid w:val="001175AD"/>
    <w:rsid w:val="00136D3E"/>
    <w:rsid w:val="00141723"/>
    <w:rsid w:val="00155263"/>
    <w:rsid w:val="00184147"/>
    <w:rsid w:val="001F37CB"/>
    <w:rsid w:val="0020427A"/>
    <w:rsid w:val="00222C21"/>
    <w:rsid w:val="00233C9A"/>
    <w:rsid w:val="00254E1D"/>
    <w:rsid w:val="00291B5E"/>
    <w:rsid w:val="0029386F"/>
    <w:rsid w:val="002A5D24"/>
    <w:rsid w:val="002A6604"/>
    <w:rsid w:val="00314098"/>
    <w:rsid w:val="00337EAA"/>
    <w:rsid w:val="00351310"/>
    <w:rsid w:val="003743D1"/>
    <w:rsid w:val="003824CB"/>
    <w:rsid w:val="003841A2"/>
    <w:rsid w:val="00396796"/>
    <w:rsid w:val="003A4565"/>
    <w:rsid w:val="00442FB2"/>
    <w:rsid w:val="00494964"/>
    <w:rsid w:val="004C50CA"/>
    <w:rsid w:val="004E21CC"/>
    <w:rsid w:val="00504B85"/>
    <w:rsid w:val="00563B56"/>
    <w:rsid w:val="005B13D3"/>
    <w:rsid w:val="005C6120"/>
    <w:rsid w:val="005D7EED"/>
    <w:rsid w:val="005F47AF"/>
    <w:rsid w:val="006261B7"/>
    <w:rsid w:val="00632CD1"/>
    <w:rsid w:val="00635CD6"/>
    <w:rsid w:val="00642621"/>
    <w:rsid w:val="00675FE6"/>
    <w:rsid w:val="00693D84"/>
    <w:rsid w:val="006A108A"/>
    <w:rsid w:val="006A39AD"/>
    <w:rsid w:val="006F5BAA"/>
    <w:rsid w:val="00730B08"/>
    <w:rsid w:val="00793BD2"/>
    <w:rsid w:val="007F5613"/>
    <w:rsid w:val="00805DEF"/>
    <w:rsid w:val="00842D2E"/>
    <w:rsid w:val="0085156A"/>
    <w:rsid w:val="00884DD1"/>
    <w:rsid w:val="008D5A26"/>
    <w:rsid w:val="00970AC3"/>
    <w:rsid w:val="009A18B5"/>
    <w:rsid w:val="009A4E61"/>
    <w:rsid w:val="009C5EDF"/>
    <w:rsid w:val="009E74DD"/>
    <w:rsid w:val="009F7DE9"/>
    <w:rsid w:val="00A33BCB"/>
    <w:rsid w:val="00A66E4E"/>
    <w:rsid w:val="00A75938"/>
    <w:rsid w:val="00AC7F32"/>
    <w:rsid w:val="00B47601"/>
    <w:rsid w:val="00B70F84"/>
    <w:rsid w:val="00B74D9E"/>
    <w:rsid w:val="00BB73B1"/>
    <w:rsid w:val="00C235B0"/>
    <w:rsid w:val="00C718D4"/>
    <w:rsid w:val="00C72487"/>
    <w:rsid w:val="00CC647B"/>
    <w:rsid w:val="00D80BF9"/>
    <w:rsid w:val="00DB67EC"/>
    <w:rsid w:val="00DB6A24"/>
    <w:rsid w:val="00DF590C"/>
    <w:rsid w:val="00DF6566"/>
    <w:rsid w:val="00E07A43"/>
    <w:rsid w:val="00E15E32"/>
    <w:rsid w:val="00E23166"/>
    <w:rsid w:val="00E3302D"/>
    <w:rsid w:val="00E34C0C"/>
    <w:rsid w:val="00E463CE"/>
    <w:rsid w:val="00E63475"/>
    <w:rsid w:val="00E806D7"/>
    <w:rsid w:val="00EC1B06"/>
    <w:rsid w:val="00EC33B3"/>
    <w:rsid w:val="00ED23A1"/>
    <w:rsid w:val="00F11028"/>
    <w:rsid w:val="00F2493A"/>
    <w:rsid w:val="00F73A84"/>
    <w:rsid w:val="00FC3EA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7738"/>
    <w:pPr>
      <w:spacing w:after="0" w:line="240" w:lineRule="auto"/>
    </w:pPr>
    <w:rPr>
      <w:rFonts w:ascii="Times New Roman" w:eastAsia="Times New Roman" w:hAnsi="Times New Roman" w:cs="Times New Roman"/>
      <w:sz w:val="20"/>
      <w:szCs w:val="20"/>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semiHidden/>
    <w:rsid w:val="00047738"/>
    <w:pPr>
      <w:spacing w:line="360" w:lineRule="auto"/>
    </w:pPr>
    <w:rPr>
      <w:sz w:val="26"/>
      <w:szCs w:val="26"/>
    </w:rPr>
  </w:style>
  <w:style w:type="character" w:customStyle="1" w:styleId="CorpsdetexteCar">
    <w:name w:val="Corps de texte Car"/>
    <w:basedOn w:val="Policepardfaut"/>
    <w:link w:val="Corpsdetexte"/>
    <w:semiHidden/>
    <w:rsid w:val="00047738"/>
    <w:rPr>
      <w:rFonts w:ascii="Times New Roman" w:eastAsia="Times New Roman" w:hAnsi="Times New Roman" w:cs="Times New Roman"/>
      <w:sz w:val="26"/>
      <w:szCs w:val="26"/>
      <w:lang w:val="fr-FR" w:eastAsia="fr-FR"/>
    </w:rPr>
  </w:style>
  <w:style w:type="paragraph" w:styleId="Retraitcorpsdetexte3">
    <w:name w:val="Body Text Indent 3"/>
    <w:basedOn w:val="Normal"/>
    <w:link w:val="Retraitcorpsdetexte3Car"/>
    <w:uiPriority w:val="99"/>
    <w:semiHidden/>
    <w:unhideWhenUsed/>
    <w:rsid w:val="003841A2"/>
    <w:pPr>
      <w:spacing w:after="120"/>
      <w:ind w:left="283"/>
    </w:pPr>
    <w:rPr>
      <w:sz w:val="16"/>
      <w:szCs w:val="16"/>
    </w:rPr>
  </w:style>
  <w:style w:type="character" w:customStyle="1" w:styleId="Retraitcorpsdetexte3Car">
    <w:name w:val="Retrait corps de texte 3 Car"/>
    <w:basedOn w:val="Policepardfaut"/>
    <w:link w:val="Retraitcorpsdetexte3"/>
    <w:uiPriority w:val="99"/>
    <w:semiHidden/>
    <w:rsid w:val="003841A2"/>
    <w:rPr>
      <w:rFonts w:ascii="Times New Roman" w:eastAsia="Times New Roman" w:hAnsi="Times New Roman" w:cs="Times New Roman"/>
      <w:sz w:val="16"/>
      <w:szCs w:val="16"/>
      <w:lang w:val="fr-FR"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992</TotalTime>
  <Pages>1</Pages>
  <Words>434</Words>
  <Characters>2475</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81</cp:revision>
  <dcterms:created xsi:type="dcterms:W3CDTF">2015-01-07T09:27:00Z</dcterms:created>
  <dcterms:modified xsi:type="dcterms:W3CDTF">2015-02-11T08:57:00Z</dcterms:modified>
</cp:coreProperties>
</file>