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20C" w:rsidRPr="00D1120C" w:rsidRDefault="00D1120C" w:rsidP="00D1120C">
      <w:pPr>
        <w:jc w:val="center"/>
        <w:rPr>
          <w:rStyle w:val="hps"/>
          <w:rFonts w:ascii="Times New Roman" w:eastAsia="Calibri" w:hAnsi="Times New Roman" w:cs="Times New Roman"/>
          <w:sz w:val="32"/>
          <w:szCs w:val="32"/>
        </w:rPr>
      </w:pPr>
    </w:p>
    <w:p w:rsidR="00D1120C" w:rsidRPr="00D1120C" w:rsidRDefault="00D1120C" w:rsidP="00D1120C">
      <w:pPr>
        <w:jc w:val="center"/>
        <w:rPr>
          <w:rStyle w:val="hps"/>
          <w:rFonts w:ascii="Times New Roman" w:eastAsia="Calibri" w:hAnsi="Times New Roman" w:cs="Times New Roman"/>
          <w:sz w:val="32"/>
          <w:szCs w:val="32"/>
        </w:rPr>
      </w:pPr>
      <w:r w:rsidRPr="00D1120C">
        <w:rPr>
          <w:rStyle w:val="hps"/>
          <w:rFonts w:ascii="Times New Roman" w:eastAsia="Calibri" w:hAnsi="Times New Roman" w:cs="Times New Roman"/>
          <w:sz w:val="32"/>
          <w:szCs w:val="32"/>
        </w:rPr>
        <w:t>Résumé du résume</w:t>
      </w:r>
    </w:p>
    <w:p w:rsidR="00D1120C" w:rsidRDefault="00D1120C" w:rsidP="00D477A3">
      <w:pPr>
        <w:jc w:val="both"/>
        <w:rPr>
          <w:rStyle w:val="hps"/>
          <w:rFonts w:ascii="Times New Roman" w:eastAsia="Calibri" w:hAnsi="Times New Roman" w:cs="Times New Roman"/>
          <w:sz w:val="24"/>
          <w:szCs w:val="24"/>
        </w:rPr>
      </w:pPr>
    </w:p>
    <w:p w:rsidR="00AA01AA" w:rsidRDefault="00AA01AA" w:rsidP="00D477A3">
      <w:pPr>
        <w:jc w:val="both"/>
        <w:rPr>
          <w:rStyle w:val="Accentuation"/>
          <w:rFonts w:asciiTheme="majorBidi" w:hAnsiTheme="majorBidi" w:cstheme="majorBidi"/>
          <w:i w:val="0"/>
          <w:sz w:val="24"/>
          <w:szCs w:val="24"/>
        </w:rPr>
      </w:pP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Le mélange de deux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ou plusieurs polymères est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 xml:space="preserve">une technique  couramment utilisée pour obtenir de nouveaux 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matériaux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, il est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assez difficile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d'obtenir des matériaux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présentant de bonnes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caractéristiques finales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 xml:space="preserve">en raison de </w:t>
      </w:r>
      <w:r w:rsidR="00D477A3">
        <w:rPr>
          <w:rStyle w:val="hps"/>
          <w:rFonts w:asciiTheme="majorBidi" w:hAnsiTheme="majorBidi" w:cstheme="majorBidi"/>
          <w:sz w:val="24"/>
          <w:szCs w:val="24"/>
        </w:rPr>
        <w:t xml:space="preserve">leur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non-miscibilité</w:t>
      </w:r>
      <w:r w:rsidRPr="00D477A3">
        <w:rPr>
          <w:rStyle w:val="hps"/>
          <w:rFonts w:asciiTheme="majorBidi" w:hAnsiTheme="majorBidi" w:cstheme="majorBidi"/>
          <w:sz w:val="24"/>
          <w:szCs w:val="24"/>
        </w:rPr>
        <w:t>.</w:t>
      </w:r>
      <w:r w:rsidR="00D477A3" w:rsidRPr="00D477A3">
        <w:rPr>
          <w:rStyle w:val="hps"/>
          <w:rFonts w:asciiTheme="majorBidi" w:hAnsiTheme="majorBidi" w:cstheme="majorBidi"/>
          <w:sz w:val="24"/>
          <w:szCs w:val="24"/>
        </w:rPr>
        <w:t xml:space="preserve"> </w:t>
      </w:r>
      <w:r w:rsidR="00D477A3" w:rsidRPr="00D477A3">
        <w:rPr>
          <w:rFonts w:asciiTheme="majorBidi" w:hAnsiTheme="majorBidi" w:cstheme="majorBidi"/>
          <w:sz w:val="24"/>
          <w:szCs w:val="24"/>
        </w:rPr>
        <w:t>D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es études plus récentes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 xml:space="preserve">ont mis en évidence l’efficacité de 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particules solides inorganiques</w:t>
      </w:r>
      <w:r w:rsidR="00D477A3">
        <w:rPr>
          <w:rStyle w:val="hps"/>
          <w:rFonts w:asciiTheme="majorBidi" w:hAnsiTheme="majorBidi" w:cstheme="majorBidi"/>
          <w:sz w:val="24"/>
          <w:szCs w:val="24"/>
        </w:rPr>
        <w:t xml:space="preserve"> telle que l’argile 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>comme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77A3">
        <w:rPr>
          <w:rStyle w:val="hps"/>
          <w:rFonts w:ascii="Times New Roman" w:eastAsia="Calibri" w:hAnsi="Times New Roman" w:cs="Times New Roman"/>
          <w:sz w:val="24"/>
          <w:szCs w:val="24"/>
        </w:rPr>
        <w:t xml:space="preserve"> nouveau type de</w:t>
      </w:r>
      <w:r w:rsidRPr="00D477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D477A3">
        <w:rPr>
          <w:rStyle w:val="hps"/>
          <w:rFonts w:asciiTheme="majorBidi" w:hAnsiTheme="majorBidi" w:cstheme="majorBidi"/>
          <w:sz w:val="24"/>
          <w:szCs w:val="24"/>
        </w:rPr>
        <w:t>compatibilisant</w:t>
      </w:r>
      <w:proofErr w:type="spellEnd"/>
      <w:r w:rsidRPr="00D477A3">
        <w:rPr>
          <w:rStyle w:val="hps"/>
          <w:rFonts w:asciiTheme="majorBidi" w:hAnsiTheme="majorBidi" w:cstheme="majorBidi"/>
          <w:sz w:val="24"/>
          <w:szCs w:val="24"/>
        </w:rPr>
        <w:t>,</w:t>
      </w:r>
      <w:r w:rsidRPr="00D477A3">
        <w:rPr>
          <w:rFonts w:asciiTheme="majorBidi" w:hAnsiTheme="majorBidi" w:cstheme="majorBidi"/>
          <w:sz w:val="24"/>
          <w:szCs w:val="24"/>
        </w:rPr>
        <w:t xml:space="preserve"> </w:t>
      </w:r>
      <w:r w:rsidRPr="00D477A3">
        <w:rPr>
          <w:rStyle w:val="txtcourant"/>
          <w:rFonts w:ascii="Times New Roman" w:eastAsia="Calibri" w:hAnsi="Times New Roman" w:cs="Times New Roman"/>
          <w:sz w:val="24"/>
          <w:szCs w:val="24"/>
        </w:rPr>
        <w:t>Le polyéthylène téréphtalate (PET), le polystyrène (PS) et  le polychlorure de vinyle (PVC),  sont des thermoplastiques de grande diffusion</w:t>
      </w:r>
      <w:r w:rsidR="00D477A3"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recyclables. </w:t>
      </w:r>
      <w:r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La </w:t>
      </w:r>
      <w:r w:rsidR="00D477A3"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>DRX</w:t>
      </w:r>
      <w:r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>,</w:t>
      </w:r>
      <w:r w:rsidR="00D477A3"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</w:t>
      </w:r>
      <w:r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ATG, DSC et MEB</w:t>
      </w:r>
      <w:r w:rsidR="00D477A3"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on montrés </w:t>
      </w:r>
      <w:r w:rsidRPr="00D477A3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une amélioration de la miscibilité pour les paire PVC PS et PET PS.</w:t>
      </w:r>
    </w:p>
    <w:p w:rsidR="00D477A3" w:rsidRPr="00D477A3" w:rsidRDefault="00D477A3" w:rsidP="00D477A3">
      <w:pPr>
        <w:jc w:val="both"/>
        <w:rPr>
          <w:rFonts w:asciiTheme="majorBidi" w:hAnsiTheme="majorBidi" w:cstheme="majorBidi"/>
          <w:iCs/>
          <w:sz w:val="24"/>
          <w:szCs w:val="24"/>
        </w:rPr>
      </w:pPr>
      <w:r>
        <w:rPr>
          <w:rStyle w:val="Accentuation"/>
          <w:rFonts w:asciiTheme="majorBidi" w:hAnsiTheme="majorBidi" w:cstheme="majorBidi"/>
          <w:i w:val="0"/>
          <w:sz w:val="24"/>
          <w:szCs w:val="24"/>
        </w:rPr>
        <w:t>Mot clés : argile, montmorillonite, PVC,</w:t>
      </w:r>
      <w:r w:rsidR="00D1120C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</w:t>
      </w:r>
      <w:r>
        <w:rPr>
          <w:rStyle w:val="Accentuation"/>
          <w:rFonts w:asciiTheme="majorBidi" w:hAnsiTheme="majorBidi" w:cstheme="majorBidi"/>
          <w:i w:val="0"/>
          <w:sz w:val="24"/>
          <w:szCs w:val="24"/>
        </w:rPr>
        <w:t>PS,</w:t>
      </w:r>
      <w:r w:rsidR="0006331B">
        <w:rPr>
          <w:rStyle w:val="Accentuation"/>
          <w:rFonts w:asciiTheme="majorBidi" w:hAnsiTheme="majorBidi" w:cstheme="majorBidi"/>
          <w:i w:val="0"/>
          <w:sz w:val="24"/>
          <w:szCs w:val="24"/>
        </w:rPr>
        <w:t xml:space="preserve"> </w:t>
      </w:r>
      <w:r>
        <w:rPr>
          <w:rStyle w:val="Accentuation"/>
          <w:rFonts w:asciiTheme="majorBidi" w:hAnsiTheme="majorBidi" w:cstheme="majorBidi"/>
          <w:i w:val="0"/>
          <w:sz w:val="24"/>
          <w:szCs w:val="24"/>
        </w:rPr>
        <w:t>PET, miscibilité</w:t>
      </w:r>
      <w:r w:rsidR="007E72EA">
        <w:rPr>
          <w:rStyle w:val="Accentuation"/>
          <w:rFonts w:asciiTheme="majorBidi" w:hAnsiTheme="majorBidi" w:cstheme="majorBidi"/>
          <w:i w:val="0"/>
          <w:sz w:val="24"/>
          <w:szCs w:val="24"/>
        </w:rPr>
        <w:t>.</w:t>
      </w:r>
    </w:p>
    <w:sectPr w:rsidR="00D477A3" w:rsidRPr="00D477A3" w:rsidSect="00224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01AA"/>
    <w:rsid w:val="0006331B"/>
    <w:rsid w:val="001513EE"/>
    <w:rsid w:val="002249C0"/>
    <w:rsid w:val="00281D47"/>
    <w:rsid w:val="00327610"/>
    <w:rsid w:val="003C192A"/>
    <w:rsid w:val="003E3608"/>
    <w:rsid w:val="00455E08"/>
    <w:rsid w:val="004E56D9"/>
    <w:rsid w:val="00610F0A"/>
    <w:rsid w:val="006B119E"/>
    <w:rsid w:val="00754893"/>
    <w:rsid w:val="007656B9"/>
    <w:rsid w:val="00773439"/>
    <w:rsid w:val="007D3C48"/>
    <w:rsid w:val="007E72EA"/>
    <w:rsid w:val="00803153"/>
    <w:rsid w:val="00880EFD"/>
    <w:rsid w:val="00884242"/>
    <w:rsid w:val="008C6280"/>
    <w:rsid w:val="008F3BBB"/>
    <w:rsid w:val="00AA01AA"/>
    <w:rsid w:val="00AD2217"/>
    <w:rsid w:val="00B721AD"/>
    <w:rsid w:val="00BB471C"/>
    <w:rsid w:val="00D1120C"/>
    <w:rsid w:val="00D26533"/>
    <w:rsid w:val="00D477A3"/>
    <w:rsid w:val="00D53F97"/>
    <w:rsid w:val="00E41C04"/>
    <w:rsid w:val="00FB07B1"/>
    <w:rsid w:val="00FC7C31"/>
    <w:rsid w:val="00FD5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49C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AA01AA"/>
  </w:style>
  <w:style w:type="character" w:customStyle="1" w:styleId="txtcourant">
    <w:name w:val="txtcourant"/>
    <w:basedOn w:val="Policepardfaut"/>
    <w:rsid w:val="00AA01AA"/>
  </w:style>
  <w:style w:type="character" w:styleId="Accentuation">
    <w:name w:val="Emphasis"/>
    <w:basedOn w:val="Policepardfaut"/>
    <w:qFormat/>
    <w:rsid w:val="00AA01A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bettoum</dc:creator>
  <cp:lastModifiedBy>bettoum</cp:lastModifiedBy>
  <cp:revision>5</cp:revision>
  <dcterms:created xsi:type="dcterms:W3CDTF">2014-09-22T07:10:00Z</dcterms:created>
  <dcterms:modified xsi:type="dcterms:W3CDTF">2015-04-05T17:25:00Z</dcterms:modified>
</cp:coreProperties>
</file>