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5D83" w:rsidRDefault="002C5D83" w:rsidP="009A51F9">
      <w:pPr>
        <w:rPr>
          <w:rFonts w:asciiTheme="majorBidi" w:hAnsiTheme="majorBidi" w:cstheme="majorBidi"/>
          <w:b/>
          <w:bCs/>
          <w:i/>
          <w:iCs/>
          <w:sz w:val="28"/>
          <w:szCs w:val="28"/>
        </w:rPr>
      </w:pPr>
    </w:p>
    <w:p w:rsidR="002C5D83" w:rsidRDefault="002C5D83" w:rsidP="009A51F9">
      <w:pPr>
        <w:rPr>
          <w:rFonts w:asciiTheme="majorBidi" w:hAnsiTheme="majorBidi" w:cstheme="majorBidi"/>
          <w:b/>
          <w:bCs/>
          <w:i/>
          <w:iCs/>
          <w:sz w:val="28"/>
          <w:szCs w:val="28"/>
        </w:rPr>
      </w:pPr>
    </w:p>
    <w:p w:rsidR="002C5D83" w:rsidRDefault="002C5D83" w:rsidP="009A51F9">
      <w:pPr>
        <w:rPr>
          <w:rFonts w:asciiTheme="majorBidi" w:hAnsiTheme="majorBidi" w:cstheme="majorBidi"/>
          <w:b/>
          <w:bCs/>
          <w:i/>
          <w:iCs/>
          <w:sz w:val="28"/>
          <w:szCs w:val="28"/>
        </w:rPr>
      </w:pPr>
    </w:p>
    <w:p w:rsidR="009A51F9" w:rsidRPr="009A51F9" w:rsidRDefault="009A51F9" w:rsidP="009A51F9">
      <w:pPr>
        <w:rPr>
          <w:rFonts w:asciiTheme="majorBidi" w:hAnsiTheme="majorBidi" w:cstheme="majorBidi"/>
          <w:b/>
          <w:bCs/>
          <w:i/>
          <w:iCs/>
          <w:sz w:val="28"/>
          <w:szCs w:val="28"/>
        </w:rPr>
      </w:pPr>
      <w:r w:rsidRPr="009A51F9">
        <w:rPr>
          <w:rFonts w:asciiTheme="majorBidi" w:hAnsiTheme="majorBidi" w:cstheme="majorBidi"/>
          <w:b/>
          <w:bCs/>
          <w:i/>
          <w:iCs/>
          <w:sz w:val="28"/>
          <w:szCs w:val="28"/>
        </w:rPr>
        <w:t xml:space="preserve">Résumé : </w:t>
      </w:r>
    </w:p>
    <w:p w:rsidR="009A51F9" w:rsidRPr="009A51F9" w:rsidRDefault="009A51F9" w:rsidP="002C5D83">
      <w:pPr>
        <w:spacing w:line="360" w:lineRule="auto"/>
        <w:ind w:firstLine="720"/>
        <w:jc w:val="both"/>
        <w:rPr>
          <w:rFonts w:asciiTheme="majorBidi" w:hAnsiTheme="majorBidi" w:cstheme="majorBidi"/>
          <w:i/>
          <w:iCs/>
          <w:sz w:val="24"/>
          <w:szCs w:val="24"/>
        </w:rPr>
      </w:pPr>
      <w:bookmarkStart w:id="0" w:name="_GoBack"/>
      <w:r w:rsidRPr="009A51F9">
        <w:rPr>
          <w:rFonts w:asciiTheme="majorBidi" w:hAnsiTheme="majorBidi" w:cstheme="majorBidi"/>
          <w:i/>
          <w:iCs/>
          <w:sz w:val="24"/>
          <w:szCs w:val="24"/>
        </w:rPr>
        <w:t xml:space="preserve">Les travaux menés dans le cadre de cette thèse visent l’élaboration de membranes polymériques à matrice hybride, dans le but d’éliminer les micropolluants de faibles masses molaires non retenus par </w:t>
      </w:r>
      <w:r w:rsidR="00B963E5">
        <w:rPr>
          <w:rFonts w:asciiTheme="majorBidi" w:hAnsiTheme="majorBidi" w:cstheme="majorBidi"/>
          <w:i/>
          <w:iCs/>
          <w:sz w:val="24"/>
          <w:szCs w:val="24"/>
        </w:rPr>
        <w:t>les</w:t>
      </w:r>
      <w:r w:rsidRPr="009A51F9">
        <w:rPr>
          <w:rFonts w:asciiTheme="majorBidi" w:hAnsiTheme="majorBidi" w:cstheme="majorBidi"/>
          <w:i/>
          <w:iCs/>
          <w:sz w:val="24"/>
          <w:szCs w:val="24"/>
        </w:rPr>
        <w:t xml:space="preserve"> membrane</w:t>
      </w:r>
      <w:r w:rsidR="00B963E5">
        <w:rPr>
          <w:rFonts w:asciiTheme="majorBidi" w:hAnsiTheme="majorBidi" w:cstheme="majorBidi"/>
          <w:i/>
          <w:iCs/>
          <w:sz w:val="24"/>
          <w:szCs w:val="24"/>
        </w:rPr>
        <w:t xml:space="preserve">s </w:t>
      </w:r>
      <w:r w:rsidR="00D022AF">
        <w:rPr>
          <w:rFonts w:asciiTheme="majorBidi" w:hAnsiTheme="majorBidi" w:cstheme="majorBidi"/>
          <w:i/>
          <w:iCs/>
          <w:sz w:val="24"/>
          <w:szCs w:val="24"/>
        </w:rPr>
        <w:t>polymériques</w:t>
      </w:r>
      <w:r w:rsidRPr="009A51F9">
        <w:rPr>
          <w:rFonts w:asciiTheme="majorBidi" w:hAnsiTheme="majorBidi" w:cstheme="majorBidi"/>
          <w:i/>
          <w:iCs/>
          <w:sz w:val="24"/>
          <w:szCs w:val="24"/>
        </w:rPr>
        <w:t xml:space="preserve"> classique</w:t>
      </w:r>
      <w:r w:rsidR="00B963E5">
        <w:rPr>
          <w:rFonts w:asciiTheme="majorBidi" w:hAnsiTheme="majorBidi" w:cstheme="majorBidi"/>
          <w:i/>
          <w:iCs/>
          <w:sz w:val="24"/>
          <w:szCs w:val="24"/>
        </w:rPr>
        <w:t>s</w:t>
      </w:r>
      <w:r w:rsidRPr="009A51F9">
        <w:rPr>
          <w:rFonts w:asciiTheme="majorBidi" w:hAnsiTheme="majorBidi" w:cstheme="majorBidi"/>
          <w:i/>
          <w:iCs/>
          <w:sz w:val="24"/>
          <w:szCs w:val="24"/>
        </w:rPr>
        <w:t xml:space="preserve">. Les membranes sont préparées par la méthode d’inversion de phase en utilisant le </w:t>
      </w:r>
      <w:proofErr w:type="spellStart"/>
      <w:r w:rsidRPr="009A51F9">
        <w:rPr>
          <w:rFonts w:asciiTheme="majorBidi" w:hAnsiTheme="majorBidi" w:cstheme="majorBidi"/>
          <w:i/>
          <w:iCs/>
          <w:sz w:val="24"/>
          <w:szCs w:val="24"/>
        </w:rPr>
        <w:t>polysulfone</w:t>
      </w:r>
      <w:proofErr w:type="spellEnd"/>
      <w:r w:rsidRPr="009A51F9">
        <w:rPr>
          <w:rFonts w:asciiTheme="majorBidi" w:hAnsiTheme="majorBidi" w:cstheme="majorBidi"/>
          <w:i/>
          <w:iCs/>
          <w:sz w:val="24"/>
          <w:szCs w:val="24"/>
        </w:rPr>
        <w:t xml:space="preserve"> (</w:t>
      </w:r>
      <w:proofErr w:type="spellStart"/>
      <w:r w:rsidRPr="009A51F9">
        <w:rPr>
          <w:rFonts w:asciiTheme="majorBidi" w:hAnsiTheme="majorBidi" w:cstheme="majorBidi"/>
          <w:i/>
          <w:iCs/>
          <w:sz w:val="24"/>
          <w:szCs w:val="24"/>
        </w:rPr>
        <w:t>PSf</w:t>
      </w:r>
      <w:proofErr w:type="spellEnd"/>
      <w:r w:rsidRPr="009A51F9">
        <w:rPr>
          <w:rFonts w:asciiTheme="majorBidi" w:hAnsiTheme="majorBidi" w:cstheme="majorBidi"/>
          <w:i/>
          <w:iCs/>
          <w:sz w:val="24"/>
          <w:szCs w:val="24"/>
        </w:rPr>
        <w:t xml:space="preserve">) en tant que polymère de base, un </w:t>
      </w:r>
      <w:proofErr w:type="spellStart"/>
      <w:r w:rsidRPr="009A51F9">
        <w:rPr>
          <w:rFonts w:asciiTheme="majorBidi" w:hAnsiTheme="majorBidi" w:cstheme="majorBidi"/>
          <w:i/>
          <w:iCs/>
          <w:sz w:val="24"/>
          <w:szCs w:val="24"/>
        </w:rPr>
        <w:t>biopolymère</w:t>
      </w:r>
      <w:proofErr w:type="spellEnd"/>
      <w:r w:rsidRPr="009A51F9">
        <w:rPr>
          <w:rFonts w:asciiTheme="majorBidi" w:hAnsiTheme="majorBidi" w:cstheme="majorBidi"/>
          <w:i/>
          <w:iCs/>
          <w:sz w:val="24"/>
          <w:szCs w:val="24"/>
        </w:rPr>
        <w:t xml:space="preserve">, la </w:t>
      </w:r>
      <w:proofErr w:type="spellStart"/>
      <w:r w:rsidRPr="009A51F9">
        <w:rPr>
          <w:rFonts w:asciiTheme="majorBidi" w:hAnsiTheme="majorBidi" w:cstheme="majorBidi"/>
          <w:i/>
          <w:iCs/>
          <w:sz w:val="24"/>
          <w:szCs w:val="24"/>
        </w:rPr>
        <w:t>méthylcellulose</w:t>
      </w:r>
      <w:proofErr w:type="spellEnd"/>
      <w:r w:rsidRPr="009A51F9">
        <w:rPr>
          <w:rFonts w:asciiTheme="majorBidi" w:hAnsiTheme="majorBidi" w:cstheme="majorBidi"/>
          <w:i/>
          <w:iCs/>
          <w:sz w:val="24"/>
          <w:szCs w:val="24"/>
        </w:rPr>
        <w:t xml:space="preserve"> (MC), en tant qu’additif organique</w:t>
      </w:r>
      <w:r w:rsidR="00562E87">
        <w:rPr>
          <w:rFonts w:asciiTheme="majorBidi" w:hAnsiTheme="majorBidi" w:cstheme="majorBidi"/>
          <w:i/>
          <w:iCs/>
          <w:sz w:val="24"/>
          <w:szCs w:val="24"/>
        </w:rPr>
        <w:t xml:space="preserve"> porogène</w:t>
      </w:r>
      <w:r w:rsidRPr="009A51F9">
        <w:rPr>
          <w:rFonts w:asciiTheme="majorBidi" w:hAnsiTheme="majorBidi" w:cstheme="majorBidi"/>
          <w:i/>
          <w:iCs/>
          <w:sz w:val="24"/>
          <w:szCs w:val="24"/>
        </w:rPr>
        <w:t xml:space="preserve"> et le charbon actif en poudre (CAP) commerciale en tant qu’additif inorganique. </w:t>
      </w:r>
    </w:p>
    <w:p w:rsidR="009A51F9" w:rsidRDefault="009A51F9" w:rsidP="002C5D83">
      <w:pPr>
        <w:spacing w:line="360" w:lineRule="auto"/>
        <w:ind w:firstLine="720"/>
        <w:jc w:val="both"/>
        <w:rPr>
          <w:rFonts w:asciiTheme="majorBidi" w:hAnsiTheme="majorBidi" w:cstheme="majorBidi"/>
          <w:i/>
          <w:iCs/>
          <w:sz w:val="24"/>
          <w:szCs w:val="24"/>
        </w:rPr>
      </w:pPr>
      <w:r w:rsidRPr="009A51F9">
        <w:rPr>
          <w:rFonts w:asciiTheme="majorBidi" w:hAnsiTheme="majorBidi" w:cstheme="majorBidi"/>
          <w:i/>
          <w:iCs/>
          <w:sz w:val="24"/>
          <w:szCs w:val="24"/>
        </w:rPr>
        <w:t>La première partie de la thèse porte sur l’élaboration et la caractérisation structurale</w:t>
      </w:r>
      <w:r w:rsidR="000A56C3">
        <w:rPr>
          <w:rFonts w:asciiTheme="majorBidi" w:hAnsiTheme="majorBidi" w:cstheme="majorBidi"/>
          <w:i/>
          <w:iCs/>
          <w:sz w:val="24"/>
          <w:szCs w:val="24"/>
        </w:rPr>
        <w:t>, thermique et mécanique</w:t>
      </w:r>
      <w:r w:rsidRPr="009A51F9">
        <w:rPr>
          <w:rFonts w:asciiTheme="majorBidi" w:hAnsiTheme="majorBidi" w:cstheme="majorBidi"/>
          <w:i/>
          <w:iCs/>
          <w:sz w:val="24"/>
          <w:szCs w:val="24"/>
        </w:rPr>
        <w:t xml:space="preserve"> des membranes hybride</w:t>
      </w:r>
      <w:r w:rsidR="00D22458">
        <w:rPr>
          <w:rFonts w:asciiTheme="majorBidi" w:hAnsiTheme="majorBidi" w:cstheme="majorBidi"/>
          <w:i/>
          <w:iCs/>
          <w:sz w:val="24"/>
          <w:szCs w:val="24"/>
        </w:rPr>
        <w:t>s</w:t>
      </w:r>
      <w:r w:rsidRPr="009A51F9">
        <w:rPr>
          <w:rFonts w:asciiTheme="majorBidi" w:hAnsiTheme="majorBidi" w:cstheme="majorBidi"/>
          <w:i/>
          <w:iCs/>
          <w:sz w:val="24"/>
          <w:szCs w:val="24"/>
        </w:rPr>
        <w:t xml:space="preserve"> et non hybride</w:t>
      </w:r>
      <w:r w:rsidR="00D22458">
        <w:rPr>
          <w:rFonts w:asciiTheme="majorBidi" w:hAnsiTheme="majorBidi" w:cstheme="majorBidi"/>
          <w:i/>
          <w:iCs/>
          <w:sz w:val="24"/>
          <w:szCs w:val="24"/>
        </w:rPr>
        <w:t>s</w:t>
      </w:r>
      <w:r w:rsidRPr="009A51F9">
        <w:rPr>
          <w:rFonts w:asciiTheme="majorBidi" w:hAnsiTheme="majorBidi" w:cstheme="majorBidi"/>
          <w:i/>
          <w:iCs/>
          <w:sz w:val="24"/>
          <w:szCs w:val="24"/>
        </w:rPr>
        <w:t xml:space="preserve"> par différentes techniques</w:t>
      </w:r>
      <w:r w:rsidR="000A56C3">
        <w:rPr>
          <w:rFonts w:asciiTheme="majorBidi" w:hAnsiTheme="majorBidi" w:cstheme="majorBidi"/>
          <w:i/>
          <w:iCs/>
          <w:sz w:val="24"/>
          <w:szCs w:val="24"/>
        </w:rPr>
        <w:t xml:space="preserve"> telles que la </w:t>
      </w:r>
      <w:r w:rsidRPr="009A51F9">
        <w:rPr>
          <w:rFonts w:asciiTheme="majorBidi" w:hAnsiTheme="majorBidi" w:cstheme="majorBidi"/>
          <w:i/>
          <w:iCs/>
          <w:sz w:val="24"/>
          <w:szCs w:val="24"/>
        </w:rPr>
        <w:t>spect</w:t>
      </w:r>
      <w:r w:rsidR="000A56C3">
        <w:rPr>
          <w:rFonts w:asciiTheme="majorBidi" w:hAnsiTheme="majorBidi" w:cstheme="majorBidi"/>
          <w:i/>
          <w:iCs/>
          <w:sz w:val="24"/>
          <w:szCs w:val="24"/>
        </w:rPr>
        <w:t>roscopie infrarouge (FTIR-ATR), l’</w:t>
      </w:r>
      <w:r w:rsidR="000A56C3" w:rsidRPr="009A51F9">
        <w:rPr>
          <w:rFonts w:asciiTheme="majorBidi" w:hAnsiTheme="majorBidi" w:cstheme="majorBidi"/>
          <w:i/>
          <w:iCs/>
          <w:sz w:val="24"/>
          <w:szCs w:val="24"/>
        </w:rPr>
        <w:t xml:space="preserve">angle de contact, </w:t>
      </w:r>
      <w:r w:rsidR="000A56C3">
        <w:rPr>
          <w:rFonts w:asciiTheme="majorBidi" w:hAnsiTheme="majorBidi" w:cstheme="majorBidi"/>
          <w:i/>
          <w:iCs/>
          <w:sz w:val="24"/>
          <w:szCs w:val="24"/>
        </w:rPr>
        <w:t xml:space="preserve">la </w:t>
      </w:r>
      <w:r w:rsidR="000A56C3" w:rsidRPr="009A51F9">
        <w:rPr>
          <w:rFonts w:asciiTheme="majorBidi" w:hAnsiTheme="majorBidi" w:cstheme="majorBidi"/>
          <w:i/>
          <w:iCs/>
          <w:sz w:val="24"/>
          <w:szCs w:val="24"/>
        </w:rPr>
        <w:t>microscop</w:t>
      </w:r>
      <w:r w:rsidR="000A56C3">
        <w:rPr>
          <w:rFonts w:asciiTheme="majorBidi" w:hAnsiTheme="majorBidi" w:cstheme="majorBidi"/>
          <w:i/>
          <w:iCs/>
          <w:sz w:val="24"/>
          <w:szCs w:val="24"/>
        </w:rPr>
        <w:t>ie électronique à balayage (MEB),</w:t>
      </w:r>
      <w:r w:rsidRPr="009A51F9">
        <w:rPr>
          <w:rFonts w:asciiTheme="majorBidi" w:hAnsiTheme="majorBidi" w:cstheme="majorBidi"/>
          <w:i/>
          <w:iCs/>
          <w:sz w:val="24"/>
          <w:szCs w:val="24"/>
        </w:rPr>
        <w:t>l’analyse thermogravimétrique (ATG), l’analyse d</w:t>
      </w:r>
      <w:r w:rsidR="000A56C3">
        <w:rPr>
          <w:rFonts w:asciiTheme="majorBidi" w:hAnsiTheme="majorBidi" w:cstheme="majorBidi"/>
          <w:i/>
          <w:iCs/>
          <w:sz w:val="24"/>
          <w:szCs w:val="24"/>
        </w:rPr>
        <w:t xml:space="preserve">ifférentielle à balayage (DSC) </w:t>
      </w:r>
      <w:r w:rsidRPr="009A51F9">
        <w:rPr>
          <w:rFonts w:asciiTheme="majorBidi" w:hAnsiTheme="majorBidi" w:cstheme="majorBidi"/>
          <w:i/>
          <w:iCs/>
          <w:sz w:val="24"/>
          <w:szCs w:val="24"/>
        </w:rPr>
        <w:t xml:space="preserve">et les essais de traction mécanique. La deuxième partie est consacrée à la caractérisation hydrodynamique par la détermination de la perméabilité hydraulique </w:t>
      </w:r>
      <w:r w:rsidR="000A56C3">
        <w:rPr>
          <w:rFonts w:asciiTheme="majorBidi" w:hAnsiTheme="majorBidi" w:cstheme="majorBidi"/>
          <w:i/>
          <w:iCs/>
          <w:sz w:val="24"/>
          <w:szCs w:val="24"/>
        </w:rPr>
        <w:t>et par mesure du seuil de coupure</w:t>
      </w:r>
      <w:r w:rsidR="00D5704A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0A56C3" w:rsidRPr="009A51F9">
        <w:rPr>
          <w:rFonts w:asciiTheme="majorBidi" w:hAnsiTheme="majorBidi" w:cstheme="majorBidi"/>
          <w:i/>
          <w:iCs/>
          <w:sz w:val="24"/>
          <w:szCs w:val="24"/>
        </w:rPr>
        <w:t>des membranes</w:t>
      </w:r>
      <w:r w:rsidRPr="009A51F9">
        <w:rPr>
          <w:rFonts w:asciiTheme="majorBidi" w:hAnsiTheme="majorBidi" w:cstheme="majorBidi"/>
          <w:i/>
          <w:iCs/>
          <w:sz w:val="24"/>
          <w:szCs w:val="24"/>
        </w:rPr>
        <w:t xml:space="preserve">, et l’étude de l’efficacité des membranes à matrice hybride dans le traitement de l’eau par des tests de filtration d’une eau contenant des molécules modèles de médicaments représentant les effluents de l’industrie pharmaceutique. </w:t>
      </w:r>
    </w:p>
    <w:bookmarkEnd w:id="0"/>
    <w:p w:rsidR="0053348E" w:rsidRPr="009A51F9" w:rsidRDefault="0053348E" w:rsidP="000A56C3">
      <w:pPr>
        <w:ind w:firstLine="720"/>
        <w:jc w:val="both"/>
        <w:rPr>
          <w:rFonts w:asciiTheme="majorBidi" w:hAnsiTheme="majorBidi" w:cstheme="majorBidi"/>
          <w:i/>
          <w:iCs/>
          <w:sz w:val="24"/>
          <w:szCs w:val="24"/>
        </w:rPr>
      </w:pPr>
    </w:p>
    <w:sectPr w:rsidR="0053348E" w:rsidRPr="009A51F9" w:rsidSect="009A51F9">
      <w:pgSz w:w="12240" w:h="15840"/>
      <w:pgMar w:top="1134" w:right="1134" w:bottom="1134" w:left="1134" w:header="709" w:footer="709" w:gutter="284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9A51F9"/>
    <w:rsid w:val="000A56C3"/>
    <w:rsid w:val="000D0039"/>
    <w:rsid w:val="002C5D83"/>
    <w:rsid w:val="00357BCC"/>
    <w:rsid w:val="0053348E"/>
    <w:rsid w:val="00562E87"/>
    <w:rsid w:val="005A324A"/>
    <w:rsid w:val="009A51F9"/>
    <w:rsid w:val="00A1724A"/>
    <w:rsid w:val="00B963E5"/>
    <w:rsid w:val="00D022AF"/>
    <w:rsid w:val="00D22458"/>
    <w:rsid w:val="00D44AE5"/>
    <w:rsid w:val="00D5704A"/>
    <w:rsid w:val="00D721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956E034-1B23-4232-9E5D-B00F43CA82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724A"/>
    <w:rPr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208</Words>
  <Characters>1144</Characters>
  <Application>Microsoft Office Word</Application>
  <DocSecurity>0</DocSecurity>
  <Lines>9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PhoeniXP</Company>
  <LinksUpToDate>false</LinksUpToDate>
  <CharactersWithSpaces>1350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naima</cp:lastModifiedBy>
  <cp:revision>8</cp:revision>
  <dcterms:created xsi:type="dcterms:W3CDTF">2017-12-16T07:59:00Z</dcterms:created>
  <dcterms:modified xsi:type="dcterms:W3CDTF">2018-06-25T13:16:00Z</dcterms:modified>
  <cp:contentStatus/>
</cp:coreProperties>
</file>