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706C" w:rsidRPr="00F36B20" w:rsidRDefault="00BC706C" w:rsidP="00BC706C">
      <w:pPr>
        <w:spacing w:line="360" w:lineRule="auto"/>
        <w:rPr>
          <w:b/>
          <w:bCs/>
          <w:sz w:val="24"/>
          <w:szCs w:val="24"/>
        </w:rPr>
      </w:pPr>
      <w:r w:rsidRPr="00F36B20">
        <w:rPr>
          <w:b/>
          <w:bCs/>
          <w:sz w:val="24"/>
          <w:szCs w:val="24"/>
        </w:rPr>
        <w:t>Résumé</w:t>
      </w:r>
    </w:p>
    <w:p w:rsidR="00BC706C" w:rsidRPr="00F36B20" w:rsidRDefault="00BC706C" w:rsidP="00BC706C">
      <w:pPr>
        <w:spacing w:line="360" w:lineRule="auto"/>
        <w:rPr>
          <w:color w:val="000000" w:themeColor="text1"/>
          <w:sz w:val="24"/>
          <w:szCs w:val="24"/>
        </w:rPr>
      </w:pPr>
      <w:r w:rsidRPr="00F36B20">
        <w:rPr>
          <w:color w:val="000000" w:themeColor="text1"/>
          <w:sz w:val="24"/>
          <w:szCs w:val="24"/>
        </w:rPr>
        <w:t xml:space="preserve">L’intérêt porté à l’environnement s’est considérablement développé, et sa protection est à présent inscrite dans l’action continue des administrations et des industriels. En Algérie, les différents types de déchets produits actuellement sont, dans presque leur quasi-totalité, répartis sur quelques 3000 décharges sauvages occupant environ 150.000 hectares. </w:t>
      </w:r>
    </w:p>
    <w:p w:rsidR="00BC706C" w:rsidRPr="00F36B20" w:rsidRDefault="00BC706C" w:rsidP="00BC706C">
      <w:pPr>
        <w:pStyle w:val="Commentaire"/>
        <w:spacing w:line="360" w:lineRule="auto"/>
        <w:rPr>
          <w:color w:val="000000" w:themeColor="text1"/>
          <w:sz w:val="24"/>
          <w:szCs w:val="24"/>
        </w:rPr>
      </w:pPr>
      <w:r w:rsidRPr="00F36B20">
        <w:rPr>
          <w:color w:val="000000" w:themeColor="text1"/>
          <w:sz w:val="24"/>
          <w:szCs w:val="24"/>
        </w:rPr>
        <w:t>Pour faire face à ce fléau, l’imperméabilisation des sites de décharges s’avère la solution la plus adéquate. Il s’agit d’un procédé géotechnique permettant de se prémunir contre l’action des eaux</w:t>
      </w:r>
      <w:r>
        <w:rPr>
          <w:color w:val="000000" w:themeColor="text1"/>
          <w:sz w:val="24"/>
          <w:szCs w:val="24"/>
        </w:rPr>
        <w:t xml:space="preserve"> polluées</w:t>
      </w:r>
      <w:r w:rsidRPr="00F36B20">
        <w:rPr>
          <w:color w:val="000000" w:themeColor="text1"/>
          <w:sz w:val="24"/>
          <w:szCs w:val="24"/>
        </w:rPr>
        <w:t xml:space="preserve">, visant à obtenir, la limitation du débit d’eau traversant les surfaces dans un temps donné. </w:t>
      </w:r>
      <w:bookmarkStart w:id="0" w:name="_GoBack"/>
      <w:bookmarkEnd w:id="0"/>
    </w:p>
    <w:p w:rsidR="00BC706C" w:rsidRPr="00F36B20" w:rsidRDefault="00BC706C" w:rsidP="00BC706C">
      <w:pPr>
        <w:spacing w:line="360" w:lineRule="auto"/>
        <w:rPr>
          <w:color w:val="000000" w:themeColor="text1"/>
          <w:sz w:val="24"/>
          <w:szCs w:val="24"/>
        </w:rPr>
      </w:pPr>
      <w:r w:rsidRPr="00F36B20">
        <w:rPr>
          <w:color w:val="000000" w:themeColor="text1"/>
          <w:sz w:val="24"/>
          <w:szCs w:val="24"/>
        </w:rPr>
        <w:t>Les barrières</w:t>
      </w:r>
      <w:r>
        <w:rPr>
          <w:color w:val="000000" w:themeColor="text1"/>
          <w:sz w:val="24"/>
          <w:szCs w:val="24"/>
        </w:rPr>
        <w:t>,</w:t>
      </w:r>
      <w:r w:rsidRPr="00F36B20">
        <w:rPr>
          <w:color w:val="000000" w:themeColor="text1"/>
          <w:sz w:val="24"/>
          <w:szCs w:val="24"/>
        </w:rPr>
        <w:t xml:space="preserve"> étanches dans les centres d’enfouissement techniques</w:t>
      </w:r>
      <w:r>
        <w:rPr>
          <w:color w:val="000000" w:themeColor="text1"/>
          <w:sz w:val="24"/>
          <w:szCs w:val="24"/>
        </w:rPr>
        <w:t>,</w:t>
      </w:r>
      <w:r w:rsidRPr="00F36B20">
        <w:rPr>
          <w:color w:val="000000" w:themeColor="text1"/>
          <w:sz w:val="24"/>
          <w:szCs w:val="24"/>
        </w:rPr>
        <w:t xml:space="preserve"> demeurent de nos jours une condition nécessaire pour la protection de l’environnement, ceci demande l’utilisation des matériaux adéquats.</w:t>
      </w:r>
    </w:p>
    <w:p w:rsidR="00BC706C" w:rsidRPr="00F36B20" w:rsidRDefault="00BC706C" w:rsidP="00BC706C">
      <w:pPr>
        <w:spacing w:line="360" w:lineRule="auto"/>
        <w:rPr>
          <w:color w:val="000000" w:themeColor="text1"/>
          <w:sz w:val="24"/>
          <w:szCs w:val="24"/>
        </w:rPr>
      </w:pPr>
      <w:r w:rsidRPr="00F36B20">
        <w:rPr>
          <w:color w:val="000000" w:themeColor="text1"/>
          <w:sz w:val="24"/>
          <w:szCs w:val="24"/>
        </w:rPr>
        <w:t>Ce travail rentre dans le cadre de la valorisation des matériaux locaux (sable et bentonite) dans la technique d’imperméabilisation des sites d’enfouissement  techniques «CET »</w:t>
      </w:r>
    </w:p>
    <w:p w:rsidR="00BC706C" w:rsidRDefault="00BC706C" w:rsidP="00BC706C">
      <w:pPr>
        <w:spacing w:line="360" w:lineRule="auto"/>
        <w:rPr>
          <w:color w:val="000000" w:themeColor="text1"/>
          <w:sz w:val="24"/>
          <w:szCs w:val="24"/>
        </w:rPr>
      </w:pPr>
      <w:r w:rsidRPr="00F36B20">
        <w:rPr>
          <w:color w:val="000000" w:themeColor="text1"/>
          <w:sz w:val="24"/>
          <w:szCs w:val="24"/>
        </w:rPr>
        <w:t xml:space="preserve">De ce fait, deux types de bentonite situés à l’ouest de l’Algérie ont été utilisés en mélange avec le sable à différentes concentrations à l’état compact </w:t>
      </w:r>
      <w:r>
        <w:rPr>
          <w:color w:val="000000" w:themeColor="text1"/>
          <w:sz w:val="24"/>
          <w:szCs w:val="24"/>
        </w:rPr>
        <w:t>dans le</w:t>
      </w:r>
      <w:r w:rsidRPr="00F36B20">
        <w:rPr>
          <w:color w:val="000000" w:themeColor="text1"/>
          <w:sz w:val="24"/>
          <w:szCs w:val="24"/>
        </w:rPr>
        <w:t xml:space="preserve"> but d’atteindre un dosage optimal assurant une bonne performance en termes de conductivité hydraulique à l’eau et aux m</w:t>
      </w:r>
      <w:r>
        <w:rPr>
          <w:color w:val="000000" w:themeColor="text1"/>
          <w:sz w:val="24"/>
          <w:szCs w:val="24"/>
        </w:rPr>
        <w:t>étaux lourds (Cadmium et plomb) ainsi que la</w:t>
      </w:r>
      <w:r w:rsidRPr="00F36B20">
        <w:rPr>
          <w:color w:val="000000" w:themeColor="text1"/>
          <w:sz w:val="24"/>
          <w:szCs w:val="24"/>
        </w:rPr>
        <w:t xml:space="preserve"> pérennité et résistance au cisaillement.</w:t>
      </w:r>
    </w:p>
    <w:p w:rsidR="00BC706C" w:rsidRPr="00F36B20" w:rsidRDefault="00BC706C" w:rsidP="00BC706C">
      <w:pPr>
        <w:spacing w:line="360" w:lineRule="auto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F</w:t>
      </w:r>
      <w:r w:rsidRPr="00F36B20">
        <w:rPr>
          <w:color w:val="000000" w:themeColor="text1"/>
          <w:sz w:val="24"/>
          <w:szCs w:val="24"/>
        </w:rPr>
        <w:t>inalement</w:t>
      </w:r>
      <w:r>
        <w:rPr>
          <w:color w:val="000000" w:themeColor="text1"/>
          <w:sz w:val="24"/>
          <w:szCs w:val="24"/>
        </w:rPr>
        <w:t>,</w:t>
      </w:r>
      <w:r w:rsidRPr="00F36B20">
        <w:rPr>
          <w:color w:val="000000" w:themeColor="text1"/>
          <w:sz w:val="24"/>
          <w:szCs w:val="24"/>
        </w:rPr>
        <w:t xml:space="preserve"> </w:t>
      </w:r>
      <w:r>
        <w:rPr>
          <w:color w:val="000000" w:themeColor="text1"/>
          <w:sz w:val="24"/>
          <w:szCs w:val="24"/>
        </w:rPr>
        <w:t>c</w:t>
      </w:r>
      <w:r w:rsidRPr="00F36B20">
        <w:rPr>
          <w:color w:val="000000" w:themeColor="text1"/>
          <w:sz w:val="24"/>
          <w:szCs w:val="24"/>
        </w:rPr>
        <w:t>ette étude a montré qu’un mélange de sable-6% de bentonite sodique assure une imperméabilisation adéquate des centres d’enfouissement technique.</w:t>
      </w:r>
    </w:p>
    <w:p w:rsidR="00BC706C" w:rsidRDefault="00BC706C" w:rsidP="00BC706C">
      <w:pPr>
        <w:spacing w:line="360" w:lineRule="auto"/>
        <w:rPr>
          <w:color w:val="000000" w:themeColor="text1"/>
          <w:sz w:val="24"/>
          <w:szCs w:val="24"/>
        </w:rPr>
      </w:pPr>
    </w:p>
    <w:p w:rsidR="00BC706C" w:rsidRDefault="00BC706C" w:rsidP="00BC706C">
      <w:pPr>
        <w:spacing w:line="360" w:lineRule="auto"/>
        <w:rPr>
          <w:sz w:val="24"/>
          <w:szCs w:val="24"/>
        </w:rPr>
      </w:pPr>
      <w:r w:rsidRPr="00F36B20">
        <w:rPr>
          <w:b/>
          <w:bCs/>
          <w:sz w:val="24"/>
          <w:szCs w:val="24"/>
          <w:u w:val="single"/>
        </w:rPr>
        <w:t>Mots clés</w:t>
      </w:r>
      <w:r w:rsidRPr="00F36B20">
        <w:rPr>
          <w:sz w:val="24"/>
          <w:szCs w:val="24"/>
          <w:u w:val="single"/>
        </w:rPr>
        <w:t> </w:t>
      </w:r>
      <w:r w:rsidRPr="00F36B20">
        <w:rPr>
          <w:sz w:val="24"/>
          <w:szCs w:val="24"/>
        </w:rPr>
        <w:t>: bentonite</w:t>
      </w:r>
      <w:r>
        <w:rPr>
          <w:sz w:val="24"/>
          <w:szCs w:val="24"/>
        </w:rPr>
        <w:t xml:space="preserve"> calcique, bentonite sodique</w:t>
      </w:r>
      <w:r w:rsidRPr="00F36B20">
        <w:rPr>
          <w:sz w:val="24"/>
          <w:szCs w:val="24"/>
        </w:rPr>
        <w:t>,</w:t>
      </w:r>
      <w:r>
        <w:rPr>
          <w:sz w:val="24"/>
          <w:szCs w:val="24"/>
        </w:rPr>
        <w:t xml:space="preserve"> sable,</w:t>
      </w:r>
      <w:r w:rsidRPr="00F36B20">
        <w:rPr>
          <w:sz w:val="24"/>
          <w:szCs w:val="24"/>
        </w:rPr>
        <w:t xml:space="preserve"> conductivité hydraulique, </w:t>
      </w:r>
      <w:r w:rsidRPr="00680269">
        <w:rPr>
          <w:sz w:val="24"/>
          <w:szCs w:val="24"/>
        </w:rPr>
        <w:t>pérennité</w:t>
      </w:r>
      <w:r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l’eau, métaux lourds, </w:t>
      </w:r>
      <w:r w:rsidRPr="00F36B20">
        <w:rPr>
          <w:sz w:val="24"/>
          <w:szCs w:val="24"/>
        </w:rPr>
        <w:t>résistance au cisaillement.</w:t>
      </w:r>
    </w:p>
    <w:p w:rsidR="006244CE" w:rsidRPr="00BC706C" w:rsidRDefault="00BC706C" w:rsidP="00BC706C">
      <w:pPr>
        <w:spacing w:line="360" w:lineRule="auto"/>
        <w:rPr>
          <w:rFonts w:asciiTheme="majorBidi" w:hAnsiTheme="majorBidi" w:cstheme="majorBidi"/>
          <w:sz w:val="24"/>
          <w:szCs w:val="24"/>
        </w:rPr>
      </w:pPr>
    </w:p>
    <w:sectPr w:rsidR="006244CE" w:rsidRPr="00BC70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06C"/>
    <w:rsid w:val="009D42C2"/>
    <w:rsid w:val="00B7033A"/>
    <w:rsid w:val="00BC7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706C"/>
    <w:pPr>
      <w:spacing w:after="0"/>
      <w:jc w:val="both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mmentaire">
    <w:name w:val="annotation text"/>
    <w:basedOn w:val="Normal"/>
    <w:link w:val="CommentaireCar"/>
    <w:uiPriority w:val="99"/>
    <w:unhideWhenUsed/>
    <w:rsid w:val="00BC706C"/>
  </w:style>
  <w:style w:type="character" w:customStyle="1" w:styleId="CommentaireCar">
    <w:name w:val="Commentaire Car"/>
    <w:basedOn w:val="Policepardfaut"/>
    <w:link w:val="Commentaire"/>
    <w:uiPriority w:val="99"/>
    <w:rsid w:val="00BC706C"/>
    <w:rPr>
      <w:rFonts w:ascii="Times New Roman" w:eastAsia="Times New Roman" w:hAnsi="Times New Roman" w:cs="Times New Roman"/>
      <w:sz w:val="20"/>
      <w:szCs w:val="20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706C"/>
    <w:pPr>
      <w:spacing w:after="0"/>
      <w:jc w:val="both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mmentaire">
    <w:name w:val="annotation text"/>
    <w:basedOn w:val="Normal"/>
    <w:link w:val="CommentaireCar"/>
    <w:uiPriority w:val="99"/>
    <w:unhideWhenUsed/>
    <w:rsid w:val="00BC706C"/>
  </w:style>
  <w:style w:type="character" w:customStyle="1" w:styleId="CommentaireCar">
    <w:name w:val="Commentaire Car"/>
    <w:basedOn w:val="Policepardfaut"/>
    <w:link w:val="Commentaire"/>
    <w:uiPriority w:val="99"/>
    <w:rsid w:val="00BC706C"/>
    <w:rPr>
      <w:rFonts w:ascii="Times New Roman" w:eastAsia="Times New Roman" w:hAnsi="Times New Roman" w:cs="Times New Roman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264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mm</Company>
  <LinksUpToDate>false</LinksUpToDate>
  <CharactersWithSpaces>1719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Raouf</dc:creator>
  <cp:keywords/>
  <dc:description/>
  <cp:lastModifiedBy>Raouf</cp:lastModifiedBy>
  <cp:revision>1</cp:revision>
  <dcterms:created xsi:type="dcterms:W3CDTF">2015-04-24T21:39:00Z</dcterms:created>
  <dcterms:modified xsi:type="dcterms:W3CDTF">2015-04-24T21:41:00Z</dcterms:modified>
</cp:coreProperties>
</file>