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6046F" w:rsidRDefault="0086046F" w:rsidP="0086046F">
      <w:r>
        <w:t>L'objectif de cette étude est la valorisation des déchets végétaux dans l'élimination des métaux lourds contenus dans les effluents aqueux industriels par adsorption. Les déchets végétaux choisis sont les noyaux d'olive, les grignons d'olive, les écorces d'orange et le marc de café. Ces derniers ont été testés sur le plomb et le cadmium. Une caractérisation de ces adsorbants a été réalisée afin de comprendre tous les mécanismes de fixation des métaux à la surface de l'adsorbant.</w:t>
      </w:r>
    </w:p>
    <w:p w:rsidR="0086046F" w:rsidRDefault="0086046F" w:rsidP="0086046F">
      <w:r>
        <w:t xml:space="preserve">L'étude de l'adsorption a concerné non seulement le mode batch mais aussi le mode dynamique. L'étude en batch, sur le plomb et le cadmium, s'est basée sur une étude paramétrique, étude des isothermes d'équilibre, étude cinétique et thermodynamique. Par ailleurs, l'étude en lit fixe s'est portée sur l'élimination du cadmium. L'effet des principaux paramètres tels que le débit d'alimentation et la hauteur du lit ainsi que le processus de désorption ont été examinés. </w:t>
      </w:r>
    </w:p>
    <w:p w:rsidR="0086046F" w:rsidRDefault="0086046F" w:rsidP="0086046F">
      <w:r>
        <w:t xml:space="preserve">Les différentes capacités maximales d'adsorption obtenues sont : 54.92, 15.65, 12.75 et 11.09 mg/g dans le cas de l'adsorption du cadmium respectivement sur les écorces d'orange, marc de café, grignons d'olive et noyaux d'olive. Dans le cas du plomb, elles sont plus importantes : 112.36 mg/g dans le cas des écorces d'orange et  19.45 mg/g dans le cas du marc de café. </w:t>
      </w:r>
    </w:p>
    <w:p w:rsidR="0086046F" w:rsidRDefault="0086046F" w:rsidP="0086046F">
      <w:r>
        <w:t xml:space="preserve">L'exploitations des résultats de l'étude en système batch a montré que c'est le modèle de Langmuir qui décrit parfaitement les résultats expérimentaux excepté le cas de l'adsorption du plomb sur le marc de café où c'est le modèle de </w:t>
      </w:r>
      <w:proofErr w:type="spellStart"/>
      <w:r>
        <w:t>Dubinin</w:t>
      </w:r>
      <w:proofErr w:type="spellEnd"/>
      <w:r>
        <w:t>-</w:t>
      </w:r>
      <w:proofErr w:type="spellStart"/>
      <w:r>
        <w:t>Radushkevich</w:t>
      </w:r>
      <w:proofErr w:type="spellEnd"/>
      <w:r>
        <w:t xml:space="preserve"> qui est adéquat. Le modèle cinétique du pseudo second ordre de Ho est applicable pour tous cas sans exception avec des coefficients de corrélation r2= 0.9999. </w:t>
      </w:r>
    </w:p>
    <w:p w:rsidR="006950F1" w:rsidRDefault="0086046F" w:rsidP="0086046F">
      <w:r>
        <w:t>L'élimination du cadmium en mode dynamique a montré que l'augmentation du débit d'alimentation ainsi que la hauteur du lit était favorable à l'adsorption dans le domaine d'étude. Les modèles cinétiques de Thomas et BDST décrivent bien les résultats expérimentaux. Les résultats de la désorption à l'eau distillée sont assez intéressants et ont confirmé la nature physique de l'adsorption avec une efficacité de désorption de 59%.</w:t>
      </w:r>
    </w:p>
    <w:sectPr w:rsidR="006950F1" w:rsidSect="006950F1">
      <w:pgSz w:w="11906" w:h="16838"/>
      <w:pgMar w:top="1440" w:right="1800" w:bottom="1440" w:left="180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86046F"/>
    <w:rsid w:val="006950F1"/>
    <w:rsid w:val="0086046F"/>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950F1"/>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333</Words>
  <Characters>1836</Characters>
  <Application>Microsoft Office Word</Application>
  <DocSecurity>0</DocSecurity>
  <Lines>15</Lines>
  <Paragraphs>4</Paragraphs>
  <ScaleCrop>false</ScaleCrop>
  <Company/>
  <LinksUpToDate>false</LinksUpToDate>
  <CharactersWithSpaces>2165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traitement</dc:creator>
  <cp:lastModifiedBy>traitement</cp:lastModifiedBy>
  <cp:revision>2</cp:revision>
  <dcterms:created xsi:type="dcterms:W3CDTF">2014-12-03T13:55:00Z</dcterms:created>
  <dcterms:modified xsi:type="dcterms:W3CDTF">2014-12-03T13:56:00Z</dcterms:modified>
</cp:coreProperties>
</file>