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Dans ce travail, nous nous sommes intéressés aux processus de rayonnement des sursauts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gamma</w:t>
      </w:r>
      <w:proofErr w:type="gramEnd"/>
      <w:r w:rsidRPr="00AC35EF">
        <w:rPr>
          <w:lang w:val="fr-FR" w:bidi="ar-DZ"/>
        </w:rPr>
        <w:t xml:space="preserve">, émission prompte et émission rémanente dans le cadre du modèle des chocs </w:t>
      </w:r>
      <w:proofErr w:type="spellStart"/>
      <w:r w:rsidRPr="00AC35EF">
        <w:rPr>
          <w:lang w:val="fr-FR" w:bidi="ar-DZ"/>
        </w:rPr>
        <w:t>internesexternes</w:t>
      </w:r>
      <w:proofErr w:type="spellEnd"/>
      <w:r w:rsidRPr="00AC35EF">
        <w:rPr>
          <w:lang w:val="fr-FR" w:bidi="ar-DZ"/>
        </w:rPr>
        <w:t>.</w:t>
      </w:r>
    </w:p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Nous avons modélisé les chocs internes en supposant une "boule de feu" composée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d'une</w:t>
      </w:r>
      <w:proofErr w:type="gramEnd"/>
      <w:r w:rsidRPr="00AC35EF">
        <w:rPr>
          <w:lang w:val="fr-FR" w:bidi="ar-DZ"/>
        </w:rPr>
        <w:t xml:space="preserve"> multitude de couches successives ayant des masses et des facteurs de Lorentz différents,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attribués</w:t>
      </w:r>
      <w:proofErr w:type="gramEnd"/>
      <w:r w:rsidRPr="00AC35EF">
        <w:rPr>
          <w:lang w:val="fr-FR" w:bidi="ar-DZ"/>
        </w:rPr>
        <w:t xml:space="preserve"> par un générateur de nombres aléatoires. Nous avons généré un ensemble de courbes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de</w:t>
      </w:r>
      <w:proofErr w:type="gramEnd"/>
      <w:r w:rsidRPr="00AC35EF">
        <w:rPr>
          <w:lang w:val="fr-FR" w:bidi="ar-DZ"/>
        </w:rPr>
        <w:t xml:space="preserve"> lumière très similaires à celles observées, en termes de profils et de variabilités. De plus,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nous</w:t>
      </w:r>
      <w:proofErr w:type="gramEnd"/>
      <w:r w:rsidRPr="00AC35EF">
        <w:rPr>
          <w:lang w:val="fr-FR" w:bidi="ar-DZ"/>
        </w:rPr>
        <w:t xml:space="preserve"> avons calculé les spectres des émissions synchrotron et synchrotron self-absorption</w:t>
      </w:r>
    </w:p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(SSA) dus à une distribution électronique en loi de puissances de type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plus</w:t>
      </w:r>
      <w:proofErr w:type="gramEnd"/>
      <w:r w:rsidRPr="00AC35EF">
        <w:rPr>
          <w:lang w:val="fr-FR" w:bidi="ar-DZ"/>
        </w:rPr>
        <w:t xml:space="preserve"> particulièrement pour des valeurs finies pour le processus SSA, nous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avons</w:t>
      </w:r>
      <w:proofErr w:type="gramEnd"/>
      <w:r w:rsidRPr="00AC35EF">
        <w:rPr>
          <w:lang w:val="fr-FR" w:bidi="ar-DZ"/>
        </w:rPr>
        <w:t xml:space="preserve"> calculé les spectres d'émission, les formes asymptotiques correspondantes et, en plus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des</w:t>
      </w:r>
      <w:proofErr w:type="gramEnd"/>
      <w:r w:rsidRPr="00AC35EF">
        <w:rPr>
          <w:lang w:val="fr-FR" w:bidi="ar-DZ"/>
        </w:rPr>
        <w:t xml:space="preserve"> deux fréquences d'absorption connues, une troisième fréquence exprimée en termes de la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fonction</w:t>
      </w:r>
      <w:proofErr w:type="gramEnd"/>
      <w:r w:rsidRPr="00AC35EF">
        <w:rPr>
          <w:lang w:val="fr-FR" w:bidi="ar-DZ"/>
        </w:rPr>
        <w:t xml:space="preserve"> W de Lambert. Les spectres du processus Compton inverse externe, processus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indispensable</w:t>
      </w:r>
      <w:proofErr w:type="gramEnd"/>
      <w:r w:rsidRPr="00AC35EF">
        <w:rPr>
          <w:lang w:val="fr-FR" w:bidi="ar-DZ"/>
        </w:rPr>
        <w:t xml:space="preserve"> pour générer les photons très énergétiques V - </w:t>
      </w:r>
      <w:proofErr w:type="spellStart"/>
      <w:r w:rsidRPr="00AC35EF">
        <w:rPr>
          <w:lang w:val="fr-FR" w:bidi="ar-DZ"/>
        </w:rPr>
        <w:t>TeV</w:t>
      </w:r>
      <w:proofErr w:type="spellEnd"/>
      <w:r w:rsidRPr="00AC35EF">
        <w:rPr>
          <w:lang w:val="fr-FR" w:bidi="ar-DZ"/>
        </w:rPr>
        <w:t>, ont aussi été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calculés</w:t>
      </w:r>
      <w:proofErr w:type="gramEnd"/>
      <w:r w:rsidRPr="00AC35EF">
        <w:rPr>
          <w:lang w:val="fr-FR" w:bidi="ar-DZ"/>
        </w:rPr>
        <w:t xml:space="preserve"> en supposant la même distribution électronique. Pour ce processus, nous avons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supposé</w:t>
      </w:r>
      <w:proofErr w:type="gramEnd"/>
      <w:r w:rsidRPr="00AC35EF">
        <w:rPr>
          <w:lang w:val="fr-FR" w:bidi="ar-DZ"/>
        </w:rPr>
        <w:t xml:space="preserve"> deux champs de photons : (a) un champ de photons </w:t>
      </w:r>
      <w:proofErr w:type="spellStart"/>
      <w:r w:rsidRPr="00AC35EF">
        <w:rPr>
          <w:lang w:val="fr-FR" w:bidi="ar-DZ"/>
        </w:rPr>
        <w:t>monoénergétiques</w:t>
      </w:r>
      <w:proofErr w:type="spellEnd"/>
      <w:r w:rsidRPr="00AC35EF">
        <w:rPr>
          <w:lang w:val="fr-FR" w:bidi="ar-DZ"/>
        </w:rPr>
        <w:t xml:space="preserve"> et (b) un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champ</w:t>
      </w:r>
      <w:proofErr w:type="gramEnd"/>
      <w:r w:rsidRPr="00AC35EF">
        <w:rPr>
          <w:lang w:val="fr-FR" w:bidi="ar-DZ"/>
        </w:rPr>
        <w:t xml:space="preserve"> de photons thermiques. Le rayonnement de </w:t>
      </w:r>
      <w:proofErr w:type="spellStart"/>
      <w:r w:rsidRPr="00AC35EF">
        <w:rPr>
          <w:lang w:val="fr-FR" w:bidi="ar-DZ"/>
        </w:rPr>
        <w:t>Hawking</w:t>
      </w:r>
      <w:proofErr w:type="spellEnd"/>
      <w:r w:rsidRPr="00AC35EF">
        <w:rPr>
          <w:lang w:val="fr-FR" w:bidi="ar-DZ"/>
        </w:rPr>
        <w:t xml:space="preserve"> et le processus synchrotron self-</w:t>
      </w:r>
    </w:p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Compton ont aussi été examinés. Par ailleurs, nous avons mené une analyse des spectres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intégrés</w:t>
      </w:r>
      <w:proofErr w:type="gramEnd"/>
      <w:r w:rsidRPr="00AC35EF">
        <w:rPr>
          <w:lang w:val="fr-FR" w:bidi="ar-DZ"/>
        </w:rPr>
        <w:t xml:space="preserve"> de la mission satellitaire </w:t>
      </w:r>
      <w:proofErr w:type="spellStart"/>
      <w:r w:rsidRPr="00AC35EF">
        <w:rPr>
          <w:lang w:val="fr-FR" w:bidi="ar-DZ"/>
        </w:rPr>
        <w:t>Konus</w:t>
      </w:r>
      <w:proofErr w:type="spellEnd"/>
      <w:r w:rsidRPr="00AC35EF">
        <w:rPr>
          <w:lang w:val="fr-FR" w:bidi="ar-DZ"/>
        </w:rPr>
        <w:t>-Wind en examinant trois modèles : (1) un modèle</w:t>
      </w:r>
    </w:p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CPL+PL et (2) un modèle BB+PL et (3) le modèle de Band. Nous avons montré que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l'émission</w:t>
      </w:r>
      <w:proofErr w:type="gramEnd"/>
      <w:r w:rsidRPr="00AC35EF">
        <w:rPr>
          <w:lang w:val="fr-FR" w:bidi="ar-DZ"/>
        </w:rPr>
        <w:t xml:space="preserve"> thermique est plausible pour une fraction non négligeable des sursauts traités. En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outre</w:t>
      </w:r>
      <w:proofErr w:type="gramEnd"/>
      <w:r w:rsidRPr="00AC35EF">
        <w:rPr>
          <w:lang w:val="fr-FR" w:bidi="ar-DZ"/>
        </w:rPr>
        <w:t>, nous avons modélisé l'émission "</w:t>
      </w:r>
      <w:proofErr w:type="spellStart"/>
      <w:r w:rsidRPr="00AC35EF">
        <w:rPr>
          <w:lang w:val="fr-FR" w:bidi="ar-DZ"/>
        </w:rPr>
        <w:t>afterglow</w:t>
      </w:r>
      <w:proofErr w:type="spellEnd"/>
      <w:r w:rsidRPr="00AC35EF">
        <w:rPr>
          <w:lang w:val="fr-FR" w:bidi="ar-DZ"/>
        </w:rPr>
        <w:t>" dans le cadre des chocs externes en nous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limitant</w:t>
      </w:r>
      <w:proofErr w:type="gramEnd"/>
      <w:r w:rsidRPr="00AC35EF">
        <w:rPr>
          <w:lang w:val="fr-FR" w:bidi="ar-DZ"/>
        </w:rPr>
        <w:t xml:space="preserve"> à l'émission synchrotron comme processus de rayonnement de base. Nous avons</w:t>
      </w:r>
    </w:p>
    <w:p w:rsidR="00AC35EF" w:rsidRPr="00AC35EF" w:rsidRDefault="00AC35EF" w:rsidP="00AC35EF">
      <w:pPr>
        <w:bidi w:val="0"/>
        <w:rPr>
          <w:lang w:val="fr-FR" w:bidi="ar-DZ"/>
        </w:rPr>
      </w:pPr>
      <w:proofErr w:type="gramStart"/>
      <w:r w:rsidRPr="00AC35EF">
        <w:rPr>
          <w:lang w:val="fr-FR" w:bidi="ar-DZ"/>
        </w:rPr>
        <w:t>comparé</w:t>
      </w:r>
      <w:proofErr w:type="gramEnd"/>
      <w:r w:rsidRPr="00AC35EF">
        <w:rPr>
          <w:lang w:val="fr-FR" w:bidi="ar-DZ"/>
        </w:rPr>
        <w:t xml:space="preserve"> les résultats de l'évolution hydrodynamique du modèle classique (</w:t>
      </w:r>
      <w:proofErr w:type="spellStart"/>
      <w:r w:rsidRPr="00AC35EF">
        <w:rPr>
          <w:lang w:val="fr-FR" w:bidi="ar-DZ"/>
        </w:rPr>
        <w:t>Chiang</w:t>
      </w:r>
      <w:proofErr w:type="spellEnd"/>
      <w:r w:rsidRPr="00AC35EF">
        <w:rPr>
          <w:lang w:val="fr-FR" w:bidi="ar-DZ"/>
        </w:rPr>
        <w:t xml:space="preserve"> &amp; </w:t>
      </w:r>
      <w:proofErr w:type="spellStart"/>
      <w:r w:rsidRPr="00AC35EF">
        <w:rPr>
          <w:lang w:val="fr-FR" w:bidi="ar-DZ"/>
        </w:rPr>
        <w:t>Dermer</w:t>
      </w:r>
      <w:proofErr w:type="spellEnd"/>
    </w:p>
    <w:p w:rsidR="00AC35EF" w:rsidRPr="00AC35EF" w:rsidRDefault="00AC35EF" w:rsidP="00AC35EF">
      <w:pPr>
        <w:bidi w:val="0"/>
        <w:rPr>
          <w:lang w:val="fr-FR" w:bidi="ar-DZ"/>
        </w:rPr>
      </w:pPr>
      <w:r w:rsidRPr="00AC35EF">
        <w:rPr>
          <w:lang w:val="fr-FR" w:bidi="ar-DZ"/>
        </w:rPr>
        <w:t>1999) à ceux obtenus par le modèle générale de Huang et al. (1999). Les spectres et les</w:t>
      </w:r>
    </w:p>
    <w:p w:rsidR="008B2AA9" w:rsidRPr="00AC35EF" w:rsidRDefault="00AC35EF" w:rsidP="00AC35EF">
      <w:pPr>
        <w:bidi w:val="0"/>
        <w:rPr>
          <w:rFonts w:hint="cs"/>
          <w:lang w:val="fr-FR" w:bidi="ar-DZ"/>
        </w:rPr>
      </w:pPr>
      <w:proofErr w:type="gramStart"/>
      <w:r w:rsidRPr="00AC35EF">
        <w:rPr>
          <w:lang w:val="fr-FR" w:bidi="ar-DZ"/>
        </w:rPr>
        <w:lastRenderedPageBreak/>
        <w:t>courbes</w:t>
      </w:r>
      <w:proofErr w:type="gramEnd"/>
      <w:r w:rsidRPr="00AC35EF">
        <w:rPr>
          <w:lang w:val="fr-FR" w:bidi="ar-DZ"/>
        </w:rPr>
        <w:t xml:space="preserve"> de lumière ont été calculés, montrant une bonne concordance avec les observations.</w:t>
      </w:r>
    </w:p>
    <w:sectPr w:rsidR="008B2AA9" w:rsidRPr="00AC35E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C35EF"/>
    <w:rsid w:val="006D5754"/>
    <w:rsid w:val="008B2AA9"/>
    <w:rsid w:val="00AC3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2AA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1858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2015-03-12T13:16:00Z</dcterms:created>
  <dcterms:modified xsi:type="dcterms:W3CDTF">2015-03-12T13:17:00Z</dcterms:modified>
</cp:coreProperties>
</file>