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06B85" w:rsidRDefault="00606B85" w:rsidP="005E06B2">
      <w:pPr>
        <w:spacing w:line="360" w:lineRule="auto"/>
        <w:jc w:val="center"/>
        <w:rPr>
          <w:rFonts w:ascii="Algerian" w:hAnsi="Algerian"/>
          <w:bCs/>
          <w:i/>
          <w:sz w:val="36"/>
          <w:szCs w:val="36"/>
        </w:rPr>
      </w:pPr>
      <w:r>
        <w:rPr>
          <w:rFonts w:ascii="Algerian" w:hAnsi="Algerian"/>
          <w:bCs/>
          <w:i/>
          <w:sz w:val="36"/>
          <w:szCs w:val="36"/>
        </w:rPr>
        <w:t>Résumé</w:t>
      </w:r>
      <w:r w:rsidR="00FF12A0">
        <w:rPr>
          <w:rFonts w:ascii="Algerian" w:hAnsi="Algerian"/>
          <w:bCs/>
          <w:i/>
          <w:sz w:val="36"/>
          <w:szCs w:val="36"/>
        </w:rPr>
        <w:t xml:space="preserve"> </w:t>
      </w:r>
    </w:p>
    <w:p w:rsidR="00606B85" w:rsidRPr="00606B85" w:rsidRDefault="00606B85" w:rsidP="0004260D">
      <w:pPr>
        <w:ind w:firstLine="708"/>
        <w:jc w:val="both"/>
        <w:rPr>
          <w:rFonts w:ascii="Times New Roman" w:hAnsi="Times New Roman" w:cs="Times New Roman"/>
          <w:bCs/>
          <w:sz w:val="24"/>
        </w:rPr>
      </w:pPr>
      <w:r w:rsidRPr="00606B85">
        <w:rPr>
          <w:rFonts w:ascii="Times New Roman" w:hAnsi="Times New Roman" w:cs="Times New Roman"/>
          <w:bCs/>
          <w:sz w:val="24"/>
        </w:rPr>
        <w:t>Les axes de recherches réalisés dans cette thès</w:t>
      </w:r>
      <w:r w:rsidR="00B97138">
        <w:rPr>
          <w:rFonts w:ascii="Times New Roman" w:hAnsi="Times New Roman" w:cs="Times New Roman"/>
          <w:bCs/>
          <w:sz w:val="24"/>
        </w:rPr>
        <w:t>e concernent : l’investigation d</w:t>
      </w:r>
      <w:r w:rsidRPr="00606B85">
        <w:rPr>
          <w:rFonts w:ascii="Times New Roman" w:hAnsi="Times New Roman" w:cs="Times New Roman"/>
          <w:bCs/>
          <w:sz w:val="24"/>
        </w:rPr>
        <w:t xml:space="preserve">es différentes </w:t>
      </w:r>
      <w:r w:rsidR="00B97138" w:rsidRPr="00606B85">
        <w:rPr>
          <w:rFonts w:ascii="Times New Roman" w:hAnsi="Times New Roman" w:cs="Times New Roman"/>
          <w:bCs/>
          <w:sz w:val="24"/>
        </w:rPr>
        <w:t>sources de</w:t>
      </w:r>
      <w:r w:rsidRPr="00606B85">
        <w:rPr>
          <w:rFonts w:ascii="Times New Roman" w:hAnsi="Times New Roman" w:cs="Times New Roman"/>
          <w:bCs/>
          <w:sz w:val="24"/>
        </w:rPr>
        <w:t xml:space="preserve"> contamination des co</w:t>
      </w:r>
      <w:r w:rsidR="00B97138">
        <w:rPr>
          <w:rFonts w:ascii="Times New Roman" w:hAnsi="Times New Roman" w:cs="Times New Roman"/>
          <w:bCs/>
          <w:sz w:val="24"/>
        </w:rPr>
        <w:t xml:space="preserve">urbes de sondages et des trainées </w:t>
      </w:r>
      <w:r w:rsidR="00B97138" w:rsidRPr="00606B85">
        <w:rPr>
          <w:rFonts w:ascii="Times New Roman" w:hAnsi="Times New Roman" w:cs="Times New Roman"/>
          <w:bCs/>
          <w:sz w:val="24"/>
        </w:rPr>
        <w:t>électriques</w:t>
      </w:r>
      <w:r w:rsidRPr="00606B85">
        <w:rPr>
          <w:rFonts w:ascii="Times New Roman" w:hAnsi="Times New Roman" w:cs="Times New Roman"/>
          <w:bCs/>
          <w:sz w:val="24"/>
        </w:rPr>
        <w:t xml:space="preserve"> </w:t>
      </w:r>
      <w:r w:rsidR="00B97138">
        <w:rPr>
          <w:rFonts w:ascii="Times New Roman" w:hAnsi="Times New Roman" w:cs="Times New Roman"/>
          <w:bCs/>
          <w:sz w:val="24"/>
        </w:rPr>
        <w:t xml:space="preserve">effectués </w:t>
      </w:r>
      <w:r w:rsidR="0004260D">
        <w:rPr>
          <w:rFonts w:ascii="Times New Roman" w:hAnsi="Times New Roman" w:cs="Times New Roman"/>
          <w:bCs/>
          <w:sz w:val="24"/>
        </w:rPr>
        <w:t>sur terrain. Différentes méthodes appropriées pour les corrections de ces effets perturbateurs sont illustrées.</w:t>
      </w:r>
    </w:p>
    <w:p w:rsidR="00606B85" w:rsidRPr="00606B85" w:rsidRDefault="00606B85" w:rsidP="005B4F05">
      <w:pPr>
        <w:ind w:firstLine="708"/>
        <w:jc w:val="both"/>
        <w:rPr>
          <w:rFonts w:ascii="Times New Roman" w:hAnsi="Times New Roman" w:cs="Times New Roman"/>
          <w:bCs/>
          <w:sz w:val="24"/>
        </w:rPr>
      </w:pPr>
      <w:r w:rsidRPr="00606B85">
        <w:rPr>
          <w:rFonts w:ascii="Times New Roman" w:hAnsi="Times New Roman" w:cs="Times New Roman"/>
          <w:bCs/>
          <w:sz w:val="24"/>
        </w:rPr>
        <w:t xml:space="preserve"> Lors de la réalisation d’un sondage</w:t>
      </w:r>
      <w:r w:rsidR="00740AE6">
        <w:rPr>
          <w:rFonts w:ascii="Times New Roman" w:hAnsi="Times New Roman" w:cs="Times New Roman"/>
          <w:bCs/>
          <w:sz w:val="24"/>
        </w:rPr>
        <w:t xml:space="preserve"> électrique </w:t>
      </w:r>
      <w:r w:rsidRPr="00606B85">
        <w:rPr>
          <w:rFonts w:ascii="Times New Roman" w:hAnsi="Times New Roman" w:cs="Times New Roman"/>
          <w:bCs/>
          <w:sz w:val="24"/>
        </w:rPr>
        <w:t>, la présence d’une petite hétérogéné</w:t>
      </w:r>
      <w:r w:rsidR="001D006E">
        <w:rPr>
          <w:rFonts w:ascii="Times New Roman" w:hAnsi="Times New Roman" w:cs="Times New Roman"/>
          <w:bCs/>
          <w:sz w:val="24"/>
        </w:rPr>
        <w:t xml:space="preserve">ité géologique </w:t>
      </w:r>
      <w:r w:rsidR="001D006E" w:rsidRPr="00606B85">
        <w:rPr>
          <w:rFonts w:ascii="Times New Roman" w:hAnsi="Times New Roman" w:cs="Times New Roman"/>
          <w:bCs/>
          <w:sz w:val="24"/>
        </w:rPr>
        <w:t>près</w:t>
      </w:r>
      <w:r w:rsidRPr="00606B85">
        <w:rPr>
          <w:rFonts w:ascii="Times New Roman" w:hAnsi="Times New Roman" w:cs="Times New Roman"/>
          <w:bCs/>
          <w:sz w:val="24"/>
        </w:rPr>
        <w:t xml:space="preserve"> d’une électrode, ou d’une erreur de mesure d</w:t>
      </w:r>
      <w:r w:rsidR="001D006E">
        <w:rPr>
          <w:rFonts w:ascii="Times New Roman" w:hAnsi="Times New Roman" w:cs="Times New Roman"/>
          <w:bCs/>
          <w:sz w:val="24"/>
        </w:rPr>
        <w:t>ûe à  l’instrument ou à l’opé</w:t>
      </w:r>
      <w:r w:rsidRPr="00606B85">
        <w:rPr>
          <w:rFonts w:ascii="Times New Roman" w:hAnsi="Times New Roman" w:cs="Times New Roman"/>
          <w:bCs/>
          <w:sz w:val="24"/>
        </w:rPr>
        <w:t>rateur</w:t>
      </w:r>
      <w:r w:rsidR="001D006E">
        <w:rPr>
          <w:rFonts w:ascii="Times New Roman" w:hAnsi="Times New Roman" w:cs="Times New Roman"/>
          <w:bCs/>
          <w:sz w:val="24"/>
        </w:rPr>
        <w:t>,</w:t>
      </w:r>
      <w:r w:rsidRPr="00606B85">
        <w:rPr>
          <w:rFonts w:ascii="Times New Roman" w:hAnsi="Times New Roman" w:cs="Times New Roman"/>
          <w:bCs/>
          <w:sz w:val="24"/>
        </w:rPr>
        <w:t xml:space="preserve"> apparaissent  sur les courbes de sondages sous forme de  fluctuations rapide</w:t>
      </w:r>
      <w:r w:rsidR="001D006E">
        <w:rPr>
          <w:rFonts w:ascii="Times New Roman" w:hAnsi="Times New Roman" w:cs="Times New Roman"/>
          <w:bCs/>
          <w:sz w:val="24"/>
        </w:rPr>
        <w:t>s</w:t>
      </w:r>
      <w:r w:rsidRPr="00606B85">
        <w:rPr>
          <w:rFonts w:ascii="Times New Roman" w:hAnsi="Times New Roman" w:cs="Times New Roman"/>
          <w:bCs/>
          <w:sz w:val="24"/>
        </w:rPr>
        <w:t xml:space="preserve"> qui perturbent les variations lentes des  courbes de résistivités apparentes, tandis qu’une faille verticale ou incliné au voisinage du point de mesure apparait comme une distorsion continue</w:t>
      </w:r>
      <w:r w:rsidR="001D006E">
        <w:rPr>
          <w:rFonts w:ascii="Times New Roman" w:hAnsi="Times New Roman" w:cs="Times New Roman"/>
          <w:bCs/>
          <w:sz w:val="24"/>
        </w:rPr>
        <w:t xml:space="preserve"> de la courbe de sondage</w:t>
      </w:r>
      <w:r w:rsidRPr="00606B85">
        <w:rPr>
          <w:rFonts w:ascii="Times New Roman" w:hAnsi="Times New Roman" w:cs="Times New Roman"/>
          <w:bCs/>
          <w:sz w:val="24"/>
        </w:rPr>
        <w:t>. Un seul sondage est généralement incapable de détecter de telles anomal</w:t>
      </w:r>
      <w:r w:rsidR="001D006E">
        <w:rPr>
          <w:rFonts w:ascii="Times New Roman" w:hAnsi="Times New Roman" w:cs="Times New Roman"/>
          <w:bCs/>
          <w:sz w:val="24"/>
        </w:rPr>
        <w:t>ies qui peuvent être interprétées</w:t>
      </w:r>
      <w:r w:rsidRPr="00606B85">
        <w:rPr>
          <w:rFonts w:ascii="Times New Roman" w:hAnsi="Times New Roman" w:cs="Times New Roman"/>
          <w:bCs/>
          <w:sz w:val="24"/>
        </w:rPr>
        <w:t xml:space="preserve"> comme couches géologiques</w:t>
      </w:r>
      <w:r w:rsidR="001D006E">
        <w:rPr>
          <w:rFonts w:ascii="Times New Roman" w:hAnsi="Times New Roman" w:cs="Times New Roman"/>
          <w:bCs/>
          <w:sz w:val="24"/>
        </w:rPr>
        <w:t>,</w:t>
      </w:r>
      <w:r w:rsidRPr="00606B85">
        <w:rPr>
          <w:rFonts w:ascii="Times New Roman" w:hAnsi="Times New Roman" w:cs="Times New Roman"/>
          <w:bCs/>
          <w:sz w:val="24"/>
        </w:rPr>
        <w:t xml:space="preserve"> qui en réalité n’existen</w:t>
      </w:r>
      <w:r w:rsidR="001D006E">
        <w:rPr>
          <w:rFonts w:ascii="Times New Roman" w:hAnsi="Times New Roman" w:cs="Times New Roman"/>
          <w:bCs/>
          <w:sz w:val="24"/>
        </w:rPr>
        <w:t xml:space="preserve">t pas. Le système à trois courbes </w:t>
      </w:r>
      <w:r w:rsidRPr="00606B85">
        <w:rPr>
          <w:rFonts w:ascii="Times New Roman" w:hAnsi="Times New Roman" w:cs="Times New Roman"/>
          <w:bCs/>
          <w:sz w:val="24"/>
        </w:rPr>
        <w:t xml:space="preserve">développé par Carpenter et </w:t>
      </w:r>
      <w:proofErr w:type="spellStart"/>
      <w:r w:rsidRPr="00606B85">
        <w:rPr>
          <w:rFonts w:ascii="Times New Roman" w:hAnsi="Times New Roman" w:cs="Times New Roman"/>
          <w:bCs/>
          <w:sz w:val="24"/>
        </w:rPr>
        <w:t>Habberjam</w:t>
      </w:r>
      <w:proofErr w:type="spellEnd"/>
      <w:r w:rsidRPr="00606B85">
        <w:rPr>
          <w:rFonts w:ascii="Times New Roman" w:hAnsi="Times New Roman" w:cs="Times New Roman"/>
          <w:bCs/>
          <w:sz w:val="24"/>
        </w:rPr>
        <w:t xml:space="preserve"> permet de détecter de telles anomalies. </w:t>
      </w:r>
      <w:r w:rsidR="001D006E">
        <w:rPr>
          <w:rFonts w:ascii="Times New Roman" w:hAnsi="Times New Roman" w:cs="Times New Roman"/>
          <w:bCs/>
          <w:sz w:val="24"/>
        </w:rPr>
        <w:t>Dans ce système, a</w:t>
      </w:r>
      <w:r w:rsidRPr="00606B85">
        <w:rPr>
          <w:rFonts w:ascii="Times New Roman" w:hAnsi="Times New Roman" w:cs="Times New Roman"/>
          <w:bCs/>
          <w:sz w:val="24"/>
        </w:rPr>
        <w:t>u lieu d’un seul sondage conventionnel où une seule courbe de résistivité apparente est tracée comme fonction des espacements entre électrodes, trois mesures distinctes de résistivités pour un seul espacement entre électrodes sont obtenues</w:t>
      </w:r>
      <w:r w:rsidR="0004260D">
        <w:rPr>
          <w:rFonts w:ascii="Times New Roman" w:hAnsi="Times New Roman" w:cs="Times New Roman"/>
          <w:bCs/>
          <w:sz w:val="24"/>
        </w:rPr>
        <w:t>,</w:t>
      </w:r>
      <w:r w:rsidRPr="00606B85">
        <w:rPr>
          <w:rFonts w:ascii="Times New Roman" w:hAnsi="Times New Roman" w:cs="Times New Roman"/>
          <w:bCs/>
          <w:sz w:val="24"/>
        </w:rPr>
        <w:t xml:space="preserve"> en faisant les trois combinaisons</w:t>
      </w:r>
      <w:r w:rsidR="001D006E">
        <w:rPr>
          <w:rFonts w:ascii="Times New Roman" w:hAnsi="Times New Roman" w:cs="Times New Roman"/>
          <w:bCs/>
          <w:sz w:val="24"/>
        </w:rPr>
        <w:t xml:space="preserve"> suivantes </w:t>
      </w:r>
      <w:r w:rsidRPr="00606B85">
        <w:rPr>
          <w:rFonts w:ascii="Times New Roman" w:hAnsi="Times New Roman" w:cs="Times New Roman"/>
          <w:bCs/>
          <w:sz w:val="24"/>
        </w:rPr>
        <w:t xml:space="preserve">: CPPC (dispositif Alpha), </w:t>
      </w:r>
      <w:r w:rsidR="0004260D" w:rsidRPr="00606B85">
        <w:rPr>
          <w:rFonts w:ascii="Times New Roman" w:hAnsi="Times New Roman" w:cs="Times New Roman"/>
          <w:bCs/>
          <w:sz w:val="24"/>
        </w:rPr>
        <w:t>CCPP (</w:t>
      </w:r>
      <w:r w:rsidRPr="00606B85">
        <w:rPr>
          <w:rFonts w:ascii="Times New Roman" w:hAnsi="Times New Roman" w:cs="Times New Roman"/>
          <w:bCs/>
          <w:sz w:val="24"/>
        </w:rPr>
        <w:t xml:space="preserve">dispositif Beta) et </w:t>
      </w:r>
      <w:r w:rsidR="0004260D" w:rsidRPr="00606B85">
        <w:rPr>
          <w:rFonts w:ascii="Times New Roman" w:hAnsi="Times New Roman" w:cs="Times New Roman"/>
          <w:bCs/>
          <w:sz w:val="24"/>
        </w:rPr>
        <w:t>CPCP (</w:t>
      </w:r>
      <w:r w:rsidRPr="00606B85">
        <w:rPr>
          <w:rFonts w:ascii="Times New Roman" w:hAnsi="Times New Roman" w:cs="Times New Roman"/>
          <w:bCs/>
          <w:sz w:val="24"/>
        </w:rPr>
        <w:t>dispositif Gamma) (C électrode de cou</w:t>
      </w:r>
      <w:r w:rsidR="001D006E">
        <w:rPr>
          <w:rFonts w:ascii="Times New Roman" w:hAnsi="Times New Roman" w:cs="Times New Roman"/>
          <w:bCs/>
          <w:sz w:val="24"/>
        </w:rPr>
        <w:t xml:space="preserve">rant, P électrode de potentiel). Par conséquent, </w:t>
      </w:r>
      <w:r w:rsidRPr="00606B85">
        <w:rPr>
          <w:rFonts w:ascii="Times New Roman" w:hAnsi="Times New Roman" w:cs="Times New Roman"/>
          <w:bCs/>
          <w:sz w:val="24"/>
        </w:rPr>
        <w:t>trois courbes de sondages verticaux correspondants à ces trois dispositifs sont tracées. Une divergence locale de ces trois c</w:t>
      </w:r>
      <w:r w:rsidR="001D006E">
        <w:rPr>
          <w:rFonts w:ascii="Times New Roman" w:hAnsi="Times New Roman" w:cs="Times New Roman"/>
          <w:bCs/>
          <w:sz w:val="24"/>
        </w:rPr>
        <w:t xml:space="preserve">ourbes </w:t>
      </w:r>
      <w:r w:rsidRPr="00606B85">
        <w:rPr>
          <w:rFonts w:ascii="Times New Roman" w:hAnsi="Times New Roman" w:cs="Times New Roman"/>
          <w:bCs/>
          <w:sz w:val="24"/>
        </w:rPr>
        <w:t>est indicatrice de l’existence d’hétérogénéité à petite échelle, tandis qu’une divergence continue sur une assez grande gamme d’esp</w:t>
      </w:r>
      <w:r w:rsidR="001D006E">
        <w:rPr>
          <w:rFonts w:ascii="Times New Roman" w:hAnsi="Times New Roman" w:cs="Times New Roman"/>
          <w:bCs/>
          <w:sz w:val="24"/>
        </w:rPr>
        <w:t>acements entre électrodes est dû</w:t>
      </w:r>
      <w:r w:rsidRPr="00606B85">
        <w:rPr>
          <w:rFonts w:ascii="Times New Roman" w:hAnsi="Times New Roman" w:cs="Times New Roman"/>
          <w:bCs/>
          <w:sz w:val="24"/>
        </w:rPr>
        <w:t>e à l’existence d’une faille au voisinage du point de mesures. Une erreur de mesures (d</w:t>
      </w:r>
      <w:r w:rsidR="001D006E">
        <w:rPr>
          <w:rFonts w:ascii="Times New Roman" w:hAnsi="Times New Roman" w:cs="Times New Roman"/>
          <w:bCs/>
          <w:sz w:val="24"/>
        </w:rPr>
        <w:t>ûe à</w:t>
      </w:r>
      <w:r w:rsidRPr="00606B85">
        <w:rPr>
          <w:rFonts w:ascii="Times New Roman" w:hAnsi="Times New Roman" w:cs="Times New Roman"/>
          <w:bCs/>
          <w:sz w:val="24"/>
        </w:rPr>
        <w:t xml:space="preserve"> un mauvais fonctionneme</w:t>
      </w:r>
      <w:r w:rsidR="001D006E">
        <w:rPr>
          <w:rFonts w:ascii="Times New Roman" w:hAnsi="Times New Roman" w:cs="Times New Roman"/>
          <w:bCs/>
          <w:sz w:val="24"/>
        </w:rPr>
        <w:t>nt des instruments de mesures,</w:t>
      </w:r>
      <w:r w:rsidRPr="00606B85">
        <w:rPr>
          <w:rFonts w:ascii="Times New Roman" w:hAnsi="Times New Roman" w:cs="Times New Roman"/>
          <w:bCs/>
          <w:sz w:val="24"/>
        </w:rPr>
        <w:t xml:space="preserve"> à une inattention de l’operateur</w:t>
      </w:r>
      <w:r w:rsidR="005B4F05">
        <w:rPr>
          <w:rFonts w:ascii="Times New Roman" w:hAnsi="Times New Roman" w:cs="Times New Roman"/>
          <w:bCs/>
          <w:sz w:val="24"/>
        </w:rPr>
        <w:t xml:space="preserve"> ou à un courant émanant d’une</w:t>
      </w:r>
      <w:r w:rsidR="001D006E">
        <w:rPr>
          <w:rFonts w:ascii="Times New Roman" w:hAnsi="Times New Roman" w:cs="Times New Roman"/>
          <w:bCs/>
          <w:sz w:val="24"/>
        </w:rPr>
        <w:t xml:space="preserve"> source </w:t>
      </w:r>
      <w:r w:rsidR="005B4F05">
        <w:rPr>
          <w:rFonts w:ascii="Times New Roman" w:hAnsi="Times New Roman" w:cs="Times New Roman"/>
          <w:bCs/>
          <w:sz w:val="24"/>
        </w:rPr>
        <w:t>différente de celle utilisée)</w:t>
      </w:r>
      <w:r w:rsidRPr="00606B85">
        <w:rPr>
          <w:rFonts w:ascii="Times New Roman" w:hAnsi="Times New Roman" w:cs="Times New Roman"/>
          <w:bCs/>
          <w:sz w:val="24"/>
        </w:rPr>
        <w:t xml:space="preserve"> peut également être reconnue </w:t>
      </w:r>
      <w:r w:rsidR="005B4F05">
        <w:rPr>
          <w:rFonts w:ascii="Times New Roman" w:hAnsi="Times New Roman" w:cs="Times New Roman"/>
          <w:bCs/>
          <w:sz w:val="24"/>
        </w:rPr>
        <w:t>par l’</w:t>
      </w:r>
      <w:r w:rsidRPr="00606B85">
        <w:rPr>
          <w:rFonts w:ascii="Times New Roman" w:hAnsi="Times New Roman" w:cs="Times New Roman"/>
          <w:bCs/>
          <w:sz w:val="24"/>
        </w:rPr>
        <w:t xml:space="preserve">intersection de ces trois courbes. </w:t>
      </w:r>
    </w:p>
    <w:p w:rsidR="00606B85" w:rsidRPr="00606B85" w:rsidRDefault="00606B85" w:rsidP="00606B85">
      <w:pPr>
        <w:ind w:firstLine="708"/>
        <w:jc w:val="both"/>
        <w:rPr>
          <w:rFonts w:ascii="Times New Roman" w:hAnsi="Times New Roman" w:cs="Times New Roman"/>
          <w:bCs/>
          <w:sz w:val="24"/>
        </w:rPr>
      </w:pPr>
      <w:r w:rsidRPr="00606B85">
        <w:rPr>
          <w:rFonts w:ascii="Times New Roman" w:hAnsi="Times New Roman" w:cs="Times New Roman"/>
          <w:bCs/>
          <w:sz w:val="24"/>
        </w:rPr>
        <w:t xml:space="preserve">Afin de réduire ces effets perturbateurs, le lissage de ces trois courbes est effectué par l’utilisation de Transformée de Fourier Rapide (FFT) et d’un choix d’un filtre adéquat. Le spectre de trois courbes permet de comparer entre elles du point de vue sensibilité aux erreurs citées précédemment considéré comme bruit. </w:t>
      </w:r>
    </w:p>
    <w:p w:rsidR="00606B85" w:rsidRDefault="00606B85" w:rsidP="005B4F05">
      <w:pPr>
        <w:ind w:firstLine="708"/>
        <w:jc w:val="both"/>
        <w:rPr>
          <w:rFonts w:ascii="Times New Roman" w:hAnsi="Times New Roman" w:cs="Times New Roman"/>
          <w:bCs/>
          <w:sz w:val="24"/>
        </w:rPr>
      </w:pPr>
      <w:r w:rsidRPr="00606B85">
        <w:rPr>
          <w:rFonts w:ascii="Times New Roman" w:hAnsi="Times New Roman" w:cs="Times New Roman"/>
          <w:bCs/>
          <w:sz w:val="24"/>
        </w:rPr>
        <w:t xml:space="preserve"> </w:t>
      </w:r>
      <w:r w:rsidR="005B4F05" w:rsidRPr="00606B85">
        <w:rPr>
          <w:rFonts w:ascii="Times New Roman" w:hAnsi="Times New Roman" w:cs="Times New Roman"/>
          <w:bCs/>
          <w:sz w:val="24"/>
        </w:rPr>
        <w:t>L’investigation</w:t>
      </w:r>
      <w:r w:rsidRPr="00606B85">
        <w:rPr>
          <w:rFonts w:ascii="Times New Roman" w:hAnsi="Times New Roman" w:cs="Times New Roman"/>
          <w:bCs/>
          <w:sz w:val="24"/>
        </w:rPr>
        <w:t xml:space="preserve"> des effets perturbateurs </w:t>
      </w:r>
      <w:r w:rsidR="0004260D">
        <w:rPr>
          <w:rFonts w:ascii="Times New Roman" w:hAnsi="Times New Roman" w:cs="Times New Roman"/>
          <w:bCs/>
          <w:sz w:val="24"/>
        </w:rPr>
        <w:t xml:space="preserve">tel que la variation de la saturation ou les erreurs aléatoires </w:t>
      </w:r>
      <w:r w:rsidRPr="00606B85">
        <w:rPr>
          <w:rFonts w:ascii="Times New Roman" w:hAnsi="Times New Roman" w:cs="Times New Roman"/>
          <w:bCs/>
          <w:sz w:val="24"/>
        </w:rPr>
        <w:t xml:space="preserve">sur les trainées électriques constitue également une partie importante de la thèse. </w:t>
      </w:r>
    </w:p>
    <w:p w:rsidR="00606B85" w:rsidRDefault="00606B85" w:rsidP="0004260D">
      <w:pPr>
        <w:ind w:firstLine="708"/>
        <w:jc w:val="both"/>
        <w:rPr>
          <w:rFonts w:ascii="Times New Roman" w:hAnsi="Times New Roman" w:cs="Times New Roman"/>
          <w:bCs/>
          <w:sz w:val="24"/>
        </w:rPr>
      </w:pPr>
      <w:r w:rsidRPr="00606B85">
        <w:rPr>
          <w:rFonts w:ascii="Times New Roman" w:hAnsi="Times New Roman" w:cs="Times New Roman"/>
          <w:bCs/>
          <w:sz w:val="24"/>
        </w:rPr>
        <w:t>A cause du temps considérable r</w:t>
      </w:r>
      <w:r w:rsidR="00EF10D5">
        <w:rPr>
          <w:rFonts w:ascii="Times New Roman" w:hAnsi="Times New Roman" w:cs="Times New Roman"/>
          <w:bCs/>
          <w:sz w:val="24"/>
        </w:rPr>
        <w:t xml:space="preserve">equis pour la réalisation d’une </w:t>
      </w:r>
      <w:r w:rsidRPr="00606B85">
        <w:rPr>
          <w:rFonts w:ascii="Times New Roman" w:hAnsi="Times New Roman" w:cs="Times New Roman"/>
          <w:bCs/>
          <w:sz w:val="24"/>
        </w:rPr>
        <w:t xml:space="preserve">carte de résistivités, la variation temporelle de la saturation du </w:t>
      </w:r>
      <w:r w:rsidR="005B4F05" w:rsidRPr="00606B85">
        <w:rPr>
          <w:rFonts w:ascii="Times New Roman" w:hAnsi="Times New Roman" w:cs="Times New Roman"/>
          <w:bCs/>
          <w:sz w:val="24"/>
        </w:rPr>
        <w:t>sous-sol</w:t>
      </w:r>
      <w:r w:rsidRPr="00606B85">
        <w:rPr>
          <w:rFonts w:ascii="Times New Roman" w:hAnsi="Times New Roman" w:cs="Times New Roman"/>
          <w:bCs/>
          <w:sz w:val="24"/>
        </w:rPr>
        <w:t xml:space="preserve"> engendré</w:t>
      </w:r>
      <w:r w:rsidR="005B4F05">
        <w:rPr>
          <w:rFonts w:ascii="Times New Roman" w:hAnsi="Times New Roman" w:cs="Times New Roman"/>
          <w:bCs/>
          <w:sz w:val="24"/>
        </w:rPr>
        <w:t>e</w:t>
      </w:r>
      <w:r w:rsidRPr="00606B85">
        <w:rPr>
          <w:rFonts w:ascii="Times New Roman" w:hAnsi="Times New Roman" w:cs="Times New Roman"/>
          <w:bCs/>
          <w:sz w:val="24"/>
        </w:rPr>
        <w:t xml:space="preserve"> par les migrations latérales, la précipitation du (des) fluides, l’évaporation</w:t>
      </w:r>
      <w:r w:rsidR="005B4F05" w:rsidRPr="00606B85">
        <w:rPr>
          <w:rFonts w:ascii="Times New Roman" w:hAnsi="Times New Roman" w:cs="Times New Roman"/>
          <w:bCs/>
          <w:sz w:val="24"/>
        </w:rPr>
        <w:t>, constitue</w:t>
      </w:r>
      <w:r w:rsidR="00C261B4">
        <w:rPr>
          <w:rFonts w:ascii="Times New Roman" w:hAnsi="Times New Roman" w:cs="Times New Roman"/>
          <w:bCs/>
          <w:sz w:val="24"/>
        </w:rPr>
        <w:t xml:space="preserve"> un effet gênant. Plusieurs campagnes sont effectuées pour l’acquisition des données de la carte de résistivités de  la zone à étudier. L’estimation et </w:t>
      </w:r>
      <w:r w:rsidRPr="00606B85">
        <w:rPr>
          <w:rFonts w:ascii="Times New Roman" w:hAnsi="Times New Roman" w:cs="Times New Roman"/>
          <w:bCs/>
          <w:sz w:val="24"/>
        </w:rPr>
        <w:t>la</w:t>
      </w:r>
      <w:r w:rsidR="00C261B4">
        <w:rPr>
          <w:rFonts w:ascii="Times New Roman" w:hAnsi="Times New Roman" w:cs="Times New Roman"/>
          <w:bCs/>
          <w:sz w:val="24"/>
        </w:rPr>
        <w:t xml:space="preserve"> correction de ce paramètre sont </w:t>
      </w:r>
      <w:r w:rsidRPr="00606B85">
        <w:rPr>
          <w:rFonts w:ascii="Times New Roman" w:hAnsi="Times New Roman" w:cs="Times New Roman"/>
          <w:bCs/>
          <w:sz w:val="24"/>
        </w:rPr>
        <w:t>effectuée</w:t>
      </w:r>
      <w:r w:rsidR="00C261B4">
        <w:rPr>
          <w:rFonts w:ascii="Times New Roman" w:hAnsi="Times New Roman" w:cs="Times New Roman"/>
          <w:bCs/>
          <w:sz w:val="24"/>
        </w:rPr>
        <w:t xml:space="preserve">s par un choix d’une ligne de référence sur laquelle les profils électriques sont répétés au début de chaque campagne. Une journée de référence à laquelle </w:t>
      </w:r>
      <w:r w:rsidR="00F04182">
        <w:rPr>
          <w:rFonts w:ascii="Times New Roman" w:hAnsi="Times New Roman" w:cs="Times New Roman"/>
          <w:bCs/>
          <w:sz w:val="24"/>
        </w:rPr>
        <w:t xml:space="preserve">les données de résistivités sont rapprochées est également </w:t>
      </w:r>
      <w:r w:rsidR="00F04182">
        <w:rPr>
          <w:rFonts w:ascii="Times New Roman" w:hAnsi="Times New Roman" w:cs="Times New Roman"/>
          <w:bCs/>
          <w:sz w:val="24"/>
        </w:rPr>
        <w:lastRenderedPageBreak/>
        <w:t>choisie</w:t>
      </w:r>
      <w:r w:rsidRPr="00606B85">
        <w:rPr>
          <w:rFonts w:ascii="Times New Roman" w:hAnsi="Times New Roman" w:cs="Times New Roman"/>
          <w:bCs/>
          <w:sz w:val="24"/>
        </w:rPr>
        <w:t xml:space="preserve">. </w:t>
      </w:r>
      <w:r w:rsidR="005B4F05">
        <w:rPr>
          <w:rFonts w:ascii="Times New Roman" w:hAnsi="Times New Roman" w:cs="Times New Roman"/>
          <w:bCs/>
          <w:sz w:val="24"/>
        </w:rPr>
        <w:t xml:space="preserve">Trois alternatives sont données pour le choix de cette journée. </w:t>
      </w:r>
      <w:r w:rsidRPr="00606B85">
        <w:rPr>
          <w:rFonts w:ascii="Times New Roman" w:hAnsi="Times New Roman" w:cs="Times New Roman"/>
          <w:bCs/>
          <w:sz w:val="24"/>
        </w:rPr>
        <w:t>Comme conséquence, ce facteur</w:t>
      </w:r>
      <w:r w:rsidR="005B4F05">
        <w:rPr>
          <w:rFonts w:ascii="Times New Roman" w:hAnsi="Times New Roman" w:cs="Times New Roman"/>
          <w:bCs/>
          <w:sz w:val="24"/>
        </w:rPr>
        <w:t>,</w:t>
      </w:r>
      <w:r w:rsidRPr="00606B85">
        <w:rPr>
          <w:rFonts w:ascii="Times New Roman" w:hAnsi="Times New Roman" w:cs="Times New Roman"/>
          <w:bCs/>
          <w:sz w:val="24"/>
        </w:rPr>
        <w:t xml:space="preserve"> considéré comme erreur systématique est séparé des erreurs </w:t>
      </w:r>
      <w:r>
        <w:rPr>
          <w:rFonts w:ascii="Times New Roman" w:hAnsi="Times New Roman" w:cs="Times New Roman"/>
          <w:bCs/>
          <w:sz w:val="24"/>
        </w:rPr>
        <w:t>aléatoires.</w:t>
      </w:r>
      <w:r w:rsidR="00F04182">
        <w:rPr>
          <w:rFonts w:ascii="Times New Roman" w:hAnsi="Times New Roman" w:cs="Times New Roman"/>
          <w:bCs/>
          <w:sz w:val="24"/>
        </w:rPr>
        <w:t xml:space="preserve"> Ces deux types d’erreurs sont </w:t>
      </w:r>
      <w:r w:rsidR="00740AE6">
        <w:rPr>
          <w:rFonts w:ascii="Times New Roman" w:hAnsi="Times New Roman" w:cs="Times New Roman"/>
          <w:bCs/>
          <w:sz w:val="24"/>
        </w:rPr>
        <w:t>estimés</w:t>
      </w:r>
      <w:r w:rsidR="00F04182">
        <w:rPr>
          <w:rFonts w:ascii="Times New Roman" w:hAnsi="Times New Roman" w:cs="Times New Roman"/>
          <w:bCs/>
          <w:sz w:val="24"/>
        </w:rPr>
        <w:t xml:space="preserve"> pour des faibles et fortes valeurs des résistivités.</w:t>
      </w:r>
      <w:r w:rsidR="005B4F05">
        <w:rPr>
          <w:rFonts w:ascii="Times New Roman" w:hAnsi="Times New Roman" w:cs="Times New Roman"/>
          <w:bCs/>
          <w:sz w:val="24"/>
        </w:rPr>
        <w:t xml:space="preserve"> Une méthode de correction pour l’effet de la saturation est suggérée. Grace à celle-ci, la séparation des erreurs systématiques des erreurs aléatoires est réalisée.</w:t>
      </w:r>
    </w:p>
    <w:p w:rsidR="0004260D" w:rsidRPr="00606B85" w:rsidRDefault="008965D3" w:rsidP="00895A67">
      <w:pPr>
        <w:ind w:firstLine="708"/>
        <w:jc w:val="both"/>
        <w:rPr>
          <w:rFonts w:ascii="Times New Roman" w:hAnsi="Times New Roman" w:cs="Times New Roman"/>
          <w:bCs/>
          <w:sz w:val="24"/>
        </w:rPr>
      </w:pPr>
      <w:r>
        <w:rPr>
          <w:rFonts w:ascii="Times New Roman" w:hAnsi="Times New Roman" w:cs="Times New Roman"/>
          <w:bCs/>
          <w:sz w:val="24"/>
        </w:rPr>
        <w:t xml:space="preserve"> </w:t>
      </w:r>
      <w:r w:rsidR="00BD5A8A">
        <w:rPr>
          <w:rFonts w:ascii="Times New Roman" w:hAnsi="Times New Roman" w:cs="Times New Roman"/>
          <w:bCs/>
          <w:sz w:val="24"/>
        </w:rPr>
        <w:t>Dans le but de savoir l’effet du courant alternatif et de la variation de la saturation sur la résistivité</w:t>
      </w:r>
      <w:r w:rsidR="00895A67">
        <w:rPr>
          <w:rFonts w:ascii="Times New Roman" w:hAnsi="Times New Roman" w:cs="Times New Roman"/>
          <w:bCs/>
          <w:sz w:val="24"/>
        </w:rPr>
        <w:t xml:space="preserve"> et les </w:t>
      </w:r>
      <w:r w:rsidR="00895A67">
        <w:rPr>
          <w:rFonts w:ascii="Times New Roman" w:hAnsi="Times New Roman" w:cs="Times New Roman"/>
          <w:bCs/>
          <w:sz w:val="24"/>
        </w:rPr>
        <w:t>différents mécanismes de polarisation</w:t>
      </w:r>
      <w:r w:rsidR="00895A67">
        <w:rPr>
          <w:rFonts w:ascii="Times New Roman" w:hAnsi="Times New Roman" w:cs="Times New Roman"/>
          <w:bCs/>
          <w:sz w:val="24"/>
        </w:rPr>
        <w:t xml:space="preserve"> et de conduction, </w:t>
      </w:r>
      <w:r w:rsidR="00BD5A8A">
        <w:rPr>
          <w:rFonts w:ascii="Times New Roman" w:hAnsi="Times New Roman" w:cs="Times New Roman"/>
          <w:bCs/>
          <w:sz w:val="24"/>
        </w:rPr>
        <w:t>u</w:t>
      </w:r>
      <w:r w:rsidR="00BD5A8A" w:rsidRPr="00606B85">
        <w:rPr>
          <w:rFonts w:ascii="Times New Roman" w:hAnsi="Times New Roman" w:cs="Times New Roman"/>
          <w:bCs/>
          <w:sz w:val="24"/>
        </w:rPr>
        <w:t>ne</w:t>
      </w:r>
      <w:r w:rsidR="0004260D" w:rsidRPr="00606B85">
        <w:rPr>
          <w:rFonts w:ascii="Times New Roman" w:hAnsi="Times New Roman" w:cs="Times New Roman"/>
          <w:bCs/>
          <w:sz w:val="24"/>
        </w:rPr>
        <w:t xml:space="preserve"> étude expérimentale à l’échelle de la carotte</w:t>
      </w:r>
      <w:r w:rsidRPr="008965D3">
        <w:rPr>
          <w:rFonts w:ascii="Times New Roman" w:hAnsi="Times New Roman" w:cs="Times New Roman"/>
          <w:bCs/>
          <w:sz w:val="24"/>
        </w:rPr>
        <w:t xml:space="preserve"> </w:t>
      </w:r>
      <w:r>
        <w:rPr>
          <w:rFonts w:ascii="Times New Roman" w:hAnsi="Times New Roman" w:cs="Times New Roman"/>
          <w:bCs/>
          <w:sz w:val="24"/>
        </w:rPr>
        <w:t xml:space="preserve">a été </w:t>
      </w:r>
      <w:r w:rsidR="00A832D5">
        <w:rPr>
          <w:rFonts w:ascii="Times New Roman" w:hAnsi="Times New Roman" w:cs="Times New Roman"/>
          <w:bCs/>
          <w:sz w:val="24"/>
        </w:rPr>
        <w:t>effectué</w:t>
      </w:r>
      <w:r w:rsidR="00895A67">
        <w:rPr>
          <w:rFonts w:ascii="Times New Roman" w:hAnsi="Times New Roman" w:cs="Times New Roman"/>
          <w:bCs/>
          <w:sz w:val="24"/>
        </w:rPr>
        <w:t>. Celle-ci a permet de savoir que ces paramètres sont différemment affectés par les fortes et faibles saturations. La comparaison de la variation spatio-temporelle de ces paramètres avant et après injection d’un polluant constitue un élément précieux qui permet de connaitre comment c</w:t>
      </w:r>
      <w:r w:rsidR="00A832D5">
        <w:rPr>
          <w:rFonts w:ascii="Times New Roman" w:hAnsi="Times New Roman" w:cs="Times New Roman"/>
          <w:bCs/>
          <w:sz w:val="24"/>
        </w:rPr>
        <w:t>e polluant interagit avec</w:t>
      </w:r>
      <w:r w:rsidR="00895A67">
        <w:rPr>
          <w:rFonts w:ascii="Times New Roman" w:hAnsi="Times New Roman" w:cs="Times New Roman"/>
          <w:bCs/>
          <w:sz w:val="24"/>
        </w:rPr>
        <w:t xml:space="preserve"> l’</w:t>
      </w:r>
      <w:r w:rsidR="00A832D5">
        <w:rPr>
          <w:rFonts w:ascii="Times New Roman" w:hAnsi="Times New Roman" w:cs="Times New Roman"/>
          <w:bCs/>
          <w:sz w:val="24"/>
        </w:rPr>
        <w:t>échantillon</w:t>
      </w:r>
      <w:r w:rsidR="00895A67">
        <w:rPr>
          <w:rFonts w:ascii="Times New Roman" w:hAnsi="Times New Roman" w:cs="Times New Roman"/>
          <w:bCs/>
          <w:sz w:val="24"/>
        </w:rPr>
        <w:t xml:space="preserve">. </w:t>
      </w:r>
    </w:p>
    <w:p w:rsidR="0004260D" w:rsidRPr="00606B85" w:rsidRDefault="0004260D" w:rsidP="005B4F05">
      <w:pPr>
        <w:jc w:val="both"/>
        <w:rPr>
          <w:rFonts w:ascii="Times New Roman" w:hAnsi="Times New Roman" w:cs="Times New Roman"/>
          <w:bCs/>
          <w:sz w:val="24"/>
        </w:rPr>
      </w:pPr>
      <w:bookmarkStart w:id="0" w:name="_GoBack"/>
      <w:bookmarkEnd w:id="0"/>
    </w:p>
    <w:p w:rsidR="00B6699B" w:rsidRDefault="00B6699B" w:rsidP="00606B85">
      <w:pPr>
        <w:jc w:val="both"/>
      </w:pPr>
    </w:p>
    <w:sectPr w:rsidR="00B6699B" w:rsidSect="00606B85">
      <w:footerReference w:type="default" r:id="rId6"/>
      <w:pgSz w:w="11906" w:h="16838" w:code="9"/>
      <w:pgMar w:top="1417" w:right="1417" w:bottom="1417" w:left="1417" w:header="708" w:footer="285"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699B" w:rsidRDefault="00B6699B" w:rsidP="00606B85">
      <w:pPr>
        <w:spacing w:after="0" w:line="240" w:lineRule="auto"/>
      </w:pPr>
      <w:r>
        <w:separator/>
      </w:r>
    </w:p>
  </w:endnote>
  <w:endnote w:type="continuationSeparator" w:id="0">
    <w:p w:rsidR="00B6699B" w:rsidRDefault="00B6699B" w:rsidP="00606B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6B85" w:rsidRDefault="00606B85" w:rsidP="006D27AA">
    <w:pPr>
      <w:pStyle w:val="Pieddepage"/>
      <w:jc w:val="center"/>
    </w:pPr>
  </w:p>
  <w:p w:rsidR="00606B85" w:rsidRDefault="00606B8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699B" w:rsidRDefault="00B6699B" w:rsidP="00606B85">
      <w:pPr>
        <w:spacing w:after="0" w:line="240" w:lineRule="auto"/>
      </w:pPr>
      <w:r>
        <w:separator/>
      </w:r>
    </w:p>
  </w:footnote>
  <w:footnote w:type="continuationSeparator" w:id="0">
    <w:p w:rsidR="00B6699B" w:rsidRDefault="00B6699B" w:rsidP="00606B8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606B85"/>
    <w:rsid w:val="0004260D"/>
    <w:rsid w:val="000E35E1"/>
    <w:rsid w:val="001D006E"/>
    <w:rsid w:val="00310BAF"/>
    <w:rsid w:val="005B4F05"/>
    <w:rsid w:val="005E06B2"/>
    <w:rsid w:val="00606B85"/>
    <w:rsid w:val="006D27AA"/>
    <w:rsid w:val="00740AE6"/>
    <w:rsid w:val="007C5C99"/>
    <w:rsid w:val="00895A67"/>
    <w:rsid w:val="008965D3"/>
    <w:rsid w:val="00A832D5"/>
    <w:rsid w:val="00B6699B"/>
    <w:rsid w:val="00B97138"/>
    <w:rsid w:val="00BD5A8A"/>
    <w:rsid w:val="00C261B4"/>
    <w:rsid w:val="00EE130C"/>
    <w:rsid w:val="00EF10D5"/>
    <w:rsid w:val="00F04182"/>
    <w:rsid w:val="00FF12A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2EE83C-3633-4FFD-A249-68408297F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130C"/>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06B85"/>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06B85"/>
  </w:style>
  <w:style w:type="paragraph" w:styleId="Pieddepage">
    <w:name w:val="footer"/>
    <w:basedOn w:val="Normal"/>
    <w:link w:val="PieddepageCar"/>
    <w:uiPriority w:val="99"/>
    <w:unhideWhenUsed/>
    <w:rsid w:val="00606B8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06B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2</Pages>
  <Words>655</Words>
  <Characters>3608</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PICOS INFO</cp:lastModifiedBy>
  <cp:revision>12</cp:revision>
  <cp:lastPrinted>2015-06-22T13:08:00Z</cp:lastPrinted>
  <dcterms:created xsi:type="dcterms:W3CDTF">2015-06-02T16:41:00Z</dcterms:created>
  <dcterms:modified xsi:type="dcterms:W3CDTF">2016-04-21T13:55:00Z</dcterms:modified>
</cp:coreProperties>
</file>