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28C" w:rsidRPr="001A528C" w:rsidRDefault="001A528C" w:rsidP="001A528C">
      <w:pPr>
        <w:ind w:firstLine="0"/>
        <w:rPr>
          <w:rFonts w:ascii="Times New Roman" w:hAnsi="Times New Roman"/>
          <w:sz w:val="24"/>
          <w:szCs w:val="24"/>
        </w:rPr>
      </w:pPr>
      <w:r w:rsidRPr="001A528C">
        <w:rPr>
          <w:rFonts w:ascii="Times New Roman" w:hAnsi="Times New Roman"/>
          <w:b/>
          <w:sz w:val="24"/>
          <w:szCs w:val="24"/>
        </w:rPr>
        <w:t>Résumé</w:t>
      </w:r>
    </w:p>
    <w:p w:rsidR="001A528C" w:rsidRDefault="001A528C" w:rsidP="001A528C">
      <w:pPr>
        <w:ind w:firstLine="0"/>
        <w:rPr>
          <w:rFonts w:ascii="Times New Roman" w:hAnsi="Times New Roman"/>
          <w:sz w:val="24"/>
          <w:szCs w:val="24"/>
        </w:rPr>
      </w:pPr>
      <w:r w:rsidRPr="001A528C">
        <w:rPr>
          <w:rFonts w:ascii="Times New Roman" w:hAnsi="Times New Roman"/>
          <w:sz w:val="24"/>
          <w:szCs w:val="24"/>
        </w:rPr>
        <w:t xml:space="preserve">Le venin de </w:t>
      </w:r>
      <w:proofErr w:type="spellStart"/>
      <w:r w:rsidRPr="001A528C">
        <w:rPr>
          <w:rFonts w:ascii="Times New Roman" w:hAnsi="Times New Roman"/>
          <w:i/>
          <w:iCs/>
          <w:sz w:val="24"/>
          <w:szCs w:val="24"/>
        </w:rPr>
        <w:t>Vipera</w:t>
      </w:r>
      <w:proofErr w:type="spellEnd"/>
      <w:r w:rsidRPr="001A528C">
        <w:rPr>
          <w:rFonts w:ascii="Times New Roman" w:hAnsi="Times New Roman"/>
          <w:i/>
          <w:iCs/>
          <w:sz w:val="24"/>
          <w:szCs w:val="24"/>
        </w:rPr>
        <w:t xml:space="preserve"> </w:t>
      </w:r>
      <w:proofErr w:type="spellStart"/>
      <w:r w:rsidRPr="001A528C">
        <w:rPr>
          <w:rFonts w:ascii="Times New Roman" w:hAnsi="Times New Roman"/>
          <w:i/>
          <w:iCs/>
          <w:sz w:val="24"/>
          <w:szCs w:val="24"/>
        </w:rPr>
        <w:t>lebetina</w:t>
      </w:r>
      <w:proofErr w:type="spellEnd"/>
      <w:r w:rsidRPr="001A528C">
        <w:rPr>
          <w:rFonts w:ascii="Times New Roman" w:hAnsi="Times New Roman"/>
          <w:sz w:val="24"/>
          <w:szCs w:val="24"/>
        </w:rPr>
        <w:t xml:space="preserve"> est un mélange complexe de molécules bioactives impliquées dans les perturbations cliniques et physiopathologiques qui se manifestent par des troubles de l’hémostase notamment les </w:t>
      </w:r>
      <w:proofErr w:type="spellStart"/>
      <w:r w:rsidRPr="001A528C">
        <w:rPr>
          <w:rFonts w:ascii="Times New Roman" w:hAnsi="Times New Roman"/>
          <w:sz w:val="24"/>
          <w:szCs w:val="24"/>
        </w:rPr>
        <w:t>thrombocytopénies</w:t>
      </w:r>
      <w:proofErr w:type="spellEnd"/>
      <w:r w:rsidRPr="001A528C">
        <w:rPr>
          <w:rFonts w:ascii="Times New Roman" w:hAnsi="Times New Roman"/>
          <w:sz w:val="24"/>
          <w:szCs w:val="24"/>
        </w:rPr>
        <w:t xml:space="preserve"> ainsi que le syndrome de la coagulation </w:t>
      </w:r>
      <w:proofErr w:type="spellStart"/>
      <w:r w:rsidRPr="001A528C">
        <w:rPr>
          <w:rFonts w:ascii="Times New Roman" w:hAnsi="Times New Roman"/>
          <w:sz w:val="24"/>
          <w:szCs w:val="24"/>
        </w:rPr>
        <w:t>intravasculaire</w:t>
      </w:r>
      <w:proofErr w:type="spellEnd"/>
      <w:r w:rsidRPr="001A528C">
        <w:rPr>
          <w:rFonts w:ascii="Times New Roman" w:hAnsi="Times New Roman"/>
          <w:sz w:val="24"/>
          <w:szCs w:val="24"/>
        </w:rPr>
        <w:t xml:space="preserve"> disséminée. Dans cette étude, trois molécules ont été purifiées à partir du venin de </w:t>
      </w:r>
      <w:proofErr w:type="spellStart"/>
      <w:r w:rsidRPr="001A528C">
        <w:rPr>
          <w:rFonts w:ascii="Times New Roman" w:hAnsi="Times New Roman"/>
          <w:i/>
          <w:iCs/>
          <w:sz w:val="24"/>
          <w:szCs w:val="24"/>
        </w:rPr>
        <w:t>Vipera</w:t>
      </w:r>
      <w:proofErr w:type="spellEnd"/>
      <w:r w:rsidRPr="001A528C">
        <w:rPr>
          <w:rFonts w:ascii="Times New Roman" w:hAnsi="Times New Roman"/>
          <w:i/>
          <w:iCs/>
          <w:sz w:val="24"/>
          <w:szCs w:val="24"/>
        </w:rPr>
        <w:t xml:space="preserve"> </w:t>
      </w:r>
      <w:proofErr w:type="spellStart"/>
      <w:r w:rsidRPr="001A528C">
        <w:rPr>
          <w:rFonts w:ascii="Times New Roman" w:hAnsi="Times New Roman"/>
          <w:i/>
          <w:iCs/>
          <w:sz w:val="24"/>
          <w:szCs w:val="24"/>
        </w:rPr>
        <w:t>lebetina</w:t>
      </w:r>
      <w:proofErr w:type="spellEnd"/>
      <w:r w:rsidRPr="001A528C">
        <w:rPr>
          <w:rFonts w:ascii="Times New Roman" w:hAnsi="Times New Roman"/>
          <w:sz w:val="24"/>
          <w:szCs w:val="24"/>
        </w:rPr>
        <w:t xml:space="preserve"> la phospholipase « VLAPLA2 » et deux protéinases « VLCII et VLACII », ayant des masses moléculaires estimées respectivement à 14, 60 et 21 </w:t>
      </w:r>
      <w:proofErr w:type="spellStart"/>
      <w:r w:rsidRPr="001A528C">
        <w:rPr>
          <w:rFonts w:ascii="Times New Roman" w:hAnsi="Times New Roman"/>
          <w:sz w:val="24"/>
          <w:szCs w:val="24"/>
        </w:rPr>
        <w:t>kDa</w:t>
      </w:r>
      <w:proofErr w:type="spellEnd"/>
      <w:r w:rsidRPr="001A528C">
        <w:rPr>
          <w:rFonts w:ascii="Times New Roman" w:hAnsi="Times New Roman"/>
          <w:sz w:val="24"/>
          <w:szCs w:val="24"/>
        </w:rPr>
        <w:t xml:space="preserve">. Ces molécules peuvent agir à différents stades du processus de l’hémostase. Ce processus est à l’origine du dysfonctionnement de la fonction plaquettaire et de la cascade de la coagulation lors d’une envenimation ophidienne. L’activité </w:t>
      </w:r>
      <w:proofErr w:type="spellStart"/>
      <w:r w:rsidRPr="001A528C">
        <w:rPr>
          <w:rFonts w:ascii="Times New Roman" w:hAnsi="Times New Roman"/>
          <w:sz w:val="24"/>
          <w:szCs w:val="24"/>
        </w:rPr>
        <w:t>protéasique</w:t>
      </w:r>
      <w:proofErr w:type="spellEnd"/>
      <w:r w:rsidRPr="001A528C">
        <w:rPr>
          <w:rFonts w:ascii="Times New Roman" w:hAnsi="Times New Roman"/>
          <w:sz w:val="24"/>
          <w:szCs w:val="24"/>
        </w:rPr>
        <w:t xml:space="preserve"> de la molécule VLCII est inhibée en présence du PMSF assimilant celle-ci à une sérine protéinase de type thrombine. Cette sérine protéinase est également douée d’une forte activité coagulante. Elle est capable d’hydrolyser les deux chaînes du fibrinogène, c’est une α β </w:t>
      </w:r>
      <w:proofErr w:type="spellStart"/>
      <w:r w:rsidRPr="001A528C">
        <w:rPr>
          <w:rFonts w:ascii="Times New Roman" w:hAnsi="Times New Roman"/>
          <w:sz w:val="24"/>
          <w:szCs w:val="24"/>
        </w:rPr>
        <w:t>fibrinogénase</w:t>
      </w:r>
      <w:proofErr w:type="spellEnd"/>
      <w:r w:rsidRPr="001A528C">
        <w:rPr>
          <w:rFonts w:ascii="Times New Roman" w:hAnsi="Times New Roman"/>
          <w:sz w:val="24"/>
          <w:szCs w:val="24"/>
        </w:rPr>
        <w:t xml:space="preserve"> qui permet de libérer le </w:t>
      </w:r>
      <w:proofErr w:type="spellStart"/>
      <w:r w:rsidRPr="001A528C">
        <w:rPr>
          <w:rFonts w:ascii="Times New Roman" w:hAnsi="Times New Roman"/>
          <w:sz w:val="24"/>
          <w:szCs w:val="24"/>
        </w:rPr>
        <w:t>fibrinopeptide</w:t>
      </w:r>
      <w:proofErr w:type="spellEnd"/>
      <w:r w:rsidRPr="001A528C">
        <w:rPr>
          <w:rFonts w:ascii="Times New Roman" w:hAnsi="Times New Roman"/>
          <w:sz w:val="24"/>
          <w:szCs w:val="24"/>
        </w:rPr>
        <w:t xml:space="preserve"> A et le </w:t>
      </w:r>
      <w:proofErr w:type="spellStart"/>
      <w:r w:rsidRPr="001A528C">
        <w:rPr>
          <w:rFonts w:ascii="Times New Roman" w:hAnsi="Times New Roman"/>
          <w:sz w:val="24"/>
          <w:szCs w:val="24"/>
        </w:rPr>
        <w:t>fibrinopeptide</w:t>
      </w:r>
      <w:proofErr w:type="spellEnd"/>
      <w:r w:rsidRPr="001A528C">
        <w:rPr>
          <w:rFonts w:ascii="Times New Roman" w:hAnsi="Times New Roman"/>
          <w:sz w:val="24"/>
          <w:szCs w:val="24"/>
        </w:rPr>
        <w:t xml:space="preserve"> B. Les deux autres molécules VLAPLA2 et VLACII quand à elles, sont douées de propriétés anticoagulantes. La molécule VLACII est caractérisée comme étant β-</w:t>
      </w:r>
      <w:proofErr w:type="spellStart"/>
      <w:r w:rsidRPr="001A528C">
        <w:rPr>
          <w:rFonts w:ascii="Times New Roman" w:hAnsi="Times New Roman"/>
          <w:sz w:val="24"/>
          <w:szCs w:val="24"/>
        </w:rPr>
        <w:t>fibrinogénase</w:t>
      </w:r>
      <w:proofErr w:type="spellEnd"/>
      <w:r w:rsidRPr="001A528C">
        <w:rPr>
          <w:rFonts w:ascii="Times New Roman" w:hAnsi="Times New Roman"/>
          <w:sz w:val="24"/>
          <w:szCs w:val="24"/>
        </w:rPr>
        <w:t>, elle ne peut dégrader que la chaine β, et n’a aucun effet sur les deux autres chaines α et γ du fibrinogène. L’étude des effets de ces molécules sur la fonction des plaquettes humaines a montré  que la molécule coagulante VLCII induit également l’agrégation plaquettaire suggérant son implication dans l’induction de l’agrégation plaquettaire. L’utilisation de différents antagonistes plaquettaires ciblant différentes voies de signalisation a permis de montrer que l’action pro-</w:t>
      </w:r>
      <w:proofErr w:type="spellStart"/>
      <w:r w:rsidRPr="001A528C">
        <w:rPr>
          <w:rFonts w:ascii="Times New Roman" w:hAnsi="Times New Roman"/>
          <w:sz w:val="24"/>
          <w:szCs w:val="24"/>
        </w:rPr>
        <w:t>agrégante</w:t>
      </w:r>
      <w:proofErr w:type="spellEnd"/>
      <w:r w:rsidRPr="001A528C">
        <w:rPr>
          <w:rFonts w:ascii="Times New Roman" w:hAnsi="Times New Roman"/>
          <w:sz w:val="24"/>
          <w:szCs w:val="24"/>
        </w:rPr>
        <w:t xml:space="preserve"> de la molécule VLCII implique la voie de l’ADP, sachant que le </w:t>
      </w:r>
      <w:proofErr w:type="spellStart"/>
      <w:r w:rsidRPr="001A528C">
        <w:rPr>
          <w:rFonts w:ascii="Times New Roman" w:hAnsi="Times New Roman"/>
          <w:sz w:val="24"/>
          <w:szCs w:val="24"/>
        </w:rPr>
        <w:t>clopidogrel</w:t>
      </w:r>
      <w:proofErr w:type="spellEnd"/>
      <w:r w:rsidRPr="001A528C">
        <w:rPr>
          <w:rFonts w:ascii="Times New Roman" w:hAnsi="Times New Roman"/>
          <w:sz w:val="24"/>
          <w:szCs w:val="24"/>
        </w:rPr>
        <w:t>, un inhibiteur des récepteurs P2Y12 de l’ADP, aboli totalement l’effet pro-</w:t>
      </w:r>
      <w:proofErr w:type="spellStart"/>
      <w:r w:rsidRPr="001A528C">
        <w:rPr>
          <w:rFonts w:ascii="Times New Roman" w:hAnsi="Times New Roman"/>
          <w:sz w:val="24"/>
          <w:szCs w:val="24"/>
        </w:rPr>
        <w:t>agrégant</w:t>
      </w:r>
      <w:proofErr w:type="spellEnd"/>
      <w:r w:rsidRPr="001A528C">
        <w:rPr>
          <w:rFonts w:ascii="Times New Roman" w:hAnsi="Times New Roman"/>
          <w:sz w:val="24"/>
          <w:szCs w:val="24"/>
        </w:rPr>
        <w:t xml:space="preserve"> exercé par cette sérine protéinase. D’autre part, cette molécule VLCII semble se substituer aux facteurs V et VII se traduisant par un raccourcissement du temps de coagulation des plasmas déficients en ces facteurs. Les molécules anticoagulantes VLAPLA2 et VLACII quand à elles présentent une action inhibitrice de l’agrégation des plaquettes. Cet effet </w:t>
      </w:r>
      <w:proofErr w:type="spellStart"/>
      <w:r w:rsidRPr="001A528C">
        <w:rPr>
          <w:rFonts w:ascii="Times New Roman" w:hAnsi="Times New Roman"/>
          <w:sz w:val="24"/>
          <w:szCs w:val="24"/>
        </w:rPr>
        <w:t>anti-agrégant</w:t>
      </w:r>
      <w:proofErr w:type="spellEnd"/>
      <w:r w:rsidRPr="001A528C">
        <w:rPr>
          <w:rFonts w:ascii="Times New Roman" w:hAnsi="Times New Roman"/>
          <w:sz w:val="24"/>
          <w:szCs w:val="24"/>
        </w:rPr>
        <w:t xml:space="preserve"> est exercé par l’implication de la voie du </w:t>
      </w:r>
      <w:proofErr w:type="spellStart"/>
      <w:r w:rsidRPr="001A528C">
        <w:rPr>
          <w:rFonts w:ascii="Times New Roman" w:hAnsi="Times New Roman"/>
          <w:sz w:val="24"/>
          <w:szCs w:val="24"/>
        </w:rPr>
        <w:t>GMPc</w:t>
      </w:r>
      <w:proofErr w:type="spellEnd"/>
      <w:r w:rsidRPr="001A528C">
        <w:rPr>
          <w:rFonts w:ascii="Times New Roman" w:hAnsi="Times New Roman"/>
          <w:sz w:val="24"/>
          <w:szCs w:val="24"/>
        </w:rPr>
        <w:t>/</w:t>
      </w:r>
      <w:proofErr w:type="spellStart"/>
      <w:r w:rsidRPr="001A528C">
        <w:rPr>
          <w:rFonts w:ascii="Times New Roman" w:hAnsi="Times New Roman"/>
          <w:sz w:val="24"/>
          <w:szCs w:val="24"/>
        </w:rPr>
        <w:t>AMPc</w:t>
      </w:r>
      <w:proofErr w:type="spellEnd"/>
      <w:r w:rsidRPr="001A528C">
        <w:rPr>
          <w:rFonts w:ascii="Times New Roman" w:hAnsi="Times New Roman"/>
          <w:sz w:val="24"/>
          <w:szCs w:val="24"/>
        </w:rPr>
        <w:t xml:space="preserve"> qui se traduit par les taux élevés du NO. Cette élévation empêche l’exposition du récepteur plaquettaire </w:t>
      </w:r>
      <w:proofErr w:type="spellStart"/>
      <w:r w:rsidRPr="001A528C">
        <w:rPr>
          <w:rFonts w:ascii="Times New Roman" w:hAnsi="Times New Roman"/>
          <w:sz w:val="24"/>
          <w:szCs w:val="24"/>
        </w:rPr>
        <w:t>GPIIbIIIa</w:t>
      </w:r>
      <w:proofErr w:type="spellEnd"/>
      <w:r w:rsidRPr="001A528C">
        <w:rPr>
          <w:rFonts w:ascii="Times New Roman" w:hAnsi="Times New Roman"/>
          <w:sz w:val="24"/>
          <w:szCs w:val="24"/>
        </w:rPr>
        <w:t xml:space="preserve"> du fibrinogène et par conséquent l’inhibition de l’agrégation plaquettaire. La modification chimique du résidu His48 de la phospholipase VLAPLA2 en présence du </w:t>
      </w:r>
      <w:proofErr w:type="spellStart"/>
      <w:r w:rsidRPr="001A528C">
        <w:rPr>
          <w:rFonts w:ascii="Times New Roman" w:hAnsi="Times New Roman"/>
          <w:sz w:val="24"/>
          <w:szCs w:val="24"/>
        </w:rPr>
        <w:t>bromo</w:t>
      </w:r>
      <w:proofErr w:type="spellEnd"/>
      <w:r w:rsidRPr="001A528C">
        <w:rPr>
          <w:rFonts w:ascii="Times New Roman" w:hAnsi="Times New Roman"/>
          <w:sz w:val="24"/>
          <w:szCs w:val="24"/>
        </w:rPr>
        <w:t>-</w:t>
      </w:r>
      <w:proofErr w:type="spellStart"/>
      <w:r w:rsidRPr="001A528C">
        <w:rPr>
          <w:rFonts w:ascii="Times New Roman" w:hAnsi="Times New Roman"/>
          <w:sz w:val="24"/>
          <w:szCs w:val="24"/>
        </w:rPr>
        <w:t>phenacyl</w:t>
      </w:r>
      <w:proofErr w:type="spellEnd"/>
      <w:r w:rsidRPr="001A528C">
        <w:rPr>
          <w:rFonts w:ascii="Times New Roman" w:hAnsi="Times New Roman"/>
          <w:sz w:val="24"/>
          <w:szCs w:val="24"/>
        </w:rPr>
        <w:t xml:space="preserve"> </w:t>
      </w:r>
      <w:proofErr w:type="spellStart"/>
      <w:r w:rsidRPr="001A528C">
        <w:rPr>
          <w:rFonts w:ascii="Times New Roman" w:hAnsi="Times New Roman"/>
          <w:sz w:val="24"/>
          <w:szCs w:val="24"/>
        </w:rPr>
        <w:t>bromide</w:t>
      </w:r>
      <w:proofErr w:type="spellEnd"/>
      <w:r w:rsidRPr="001A528C">
        <w:rPr>
          <w:rFonts w:ascii="Times New Roman" w:hAnsi="Times New Roman"/>
          <w:sz w:val="24"/>
          <w:szCs w:val="24"/>
        </w:rPr>
        <w:t xml:space="preserve"> a souligné la relation existante entre l’effet pharmacologique et l’activité catalytique de la molécule. Des altérations tissulaires et des perturbations métaboliques ont été également observées suite à l’administration du venin ou des molécules purifiées au niveau du myocarde et du parenchyme pancréatique. Ces lésions sont marquées par l’infiltration des polynucléaires neutrophiles, qui représentée par les taux élevés de </w:t>
      </w:r>
      <w:proofErr w:type="spellStart"/>
      <w:r w:rsidRPr="001A528C">
        <w:rPr>
          <w:rFonts w:ascii="Times New Roman" w:hAnsi="Times New Roman"/>
          <w:sz w:val="24"/>
          <w:szCs w:val="24"/>
        </w:rPr>
        <w:t>myéloperoxydase</w:t>
      </w:r>
      <w:proofErr w:type="spellEnd"/>
      <w:r w:rsidRPr="001A528C">
        <w:rPr>
          <w:rFonts w:ascii="Times New Roman" w:hAnsi="Times New Roman"/>
          <w:sz w:val="24"/>
          <w:szCs w:val="24"/>
        </w:rPr>
        <w:t xml:space="preserve"> tant au niveau plasmatique que tissulaire.</w:t>
      </w:r>
    </w:p>
    <w:p w:rsidR="001A528C" w:rsidRDefault="001A528C" w:rsidP="001A528C">
      <w:pPr>
        <w:ind w:firstLine="0"/>
        <w:rPr>
          <w:rFonts w:ascii="Times New Roman" w:hAnsi="Times New Roman"/>
          <w:sz w:val="24"/>
          <w:szCs w:val="24"/>
        </w:rPr>
      </w:pPr>
    </w:p>
    <w:p w:rsidR="001A528C" w:rsidRPr="001A528C" w:rsidRDefault="001A528C" w:rsidP="00CA6491">
      <w:pPr>
        <w:ind w:firstLine="0"/>
        <w:rPr>
          <w:rFonts w:ascii="Times New Roman" w:hAnsi="Times New Roman"/>
          <w:b/>
          <w:sz w:val="24"/>
          <w:szCs w:val="24"/>
        </w:rPr>
      </w:pPr>
      <w:r>
        <w:rPr>
          <w:rFonts w:ascii="Times New Roman" w:hAnsi="Times New Roman"/>
          <w:sz w:val="24"/>
          <w:szCs w:val="24"/>
        </w:rPr>
        <w:t xml:space="preserve">Mots clé : Venin, </w:t>
      </w:r>
      <w:proofErr w:type="spellStart"/>
      <w:r w:rsidRPr="001A528C">
        <w:rPr>
          <w:rFonts w:ascii="Times New Roman" w:hAnsi="Times New Roman"/>
          <w:i/>
          <w:iCs/>
          <w:sz w:val="24"/>
          <w:szCs w:val="24"/>
        </w:rPr>
        <w:t>Vipera</w:t>
      </w:r>
      <w:proofErr w:type="spellEnd"/>
      <w:r w:rsidRPr="001A528C">
        <w:rPr>
          <w:rFonts w:ascii="Times New Roman" w:hAnsi="Times New Roman"/>
          <w:i/>
          <w:iCs/>
          <w:sz w:val="24"/>
          <w:szCs w:val="24"/>
        </w:rPr>
        <w:t xml:space="preserve"> </w:t>
      </w:r>
      <w:proofErr w:type="spellStart"/>
      <w:r w:rsidRPr="001A528C">
        <w:rPr>
          <w:rFonts w:ascii="Times New Roman" w:hAnsi="Times New Roman"/>
          <w:i/>
          <w:iCs/>
          <w:sz w:val="24"/>
          <w:szCs w:val="24"/>
        </w:rPr>
        <w:t>lebetina</w:t>
      </w:r>
      <w:proofErr w:type="spellEnd"/>
      <w:r>
        <w:rPr>
          <w:rFonts w:ascii="Times New Roman" w:hAnsi="Times New Roman"/>
          <w:sz w:val="24"/>
          <w:szCs w:val="24"/>
        </w:rPr>
        <w:t xml:space="preserve">, </w:t>
      </w:r>
      <w:r w:rsidR="00CA6491">
        <w:rPr>
          <w:rFonts w:ascii="Times New Roman" w:hAnsi="Times New Roman"/>
          <w:sz w:val="24"/>
          <w:szCs w:val="24"/>
        </w:rPr>
        <w:t>H</w:t>
      </w:r>
      <w:r>
        <w:rPr>
          <w:rFonts w:ascii="Times New Roman" w:hAnsi="Times New Roman"/>
          <w:sz w:val="24"/>
          <w:szCs w:val="24"/>
        </w:rPr>
        <w:t xml:space="preserve">émostase, </w:t>
      </w:r>
      <w:r w:rsidR="00CA6491">
        <w:rPr>
          <w:rFonts w:ascii="Times New Roman" w:hAnsi="Times New Roman"/>
          <w:sz w:val="24"/>
          <w:szCs w:val="24"/>
        </w:rPr>
        <w:t>P</w:t>
      </w:r>
      <w:r>
        <w:rPr>
          <w:rFonts w:ascii="Times New Roman" w:hAnsi="Times New Roman"/>
          <w:sz w:val="24"/>
          <w:szCs w:val="24"/>
        </w:rPr>
        <w:t xml:space="preserve">rotéinase, PLA2, </w:t>
      </w:r>
      <w:r w:rsidR="00CA6491">
        <w:rPr>
          <w:rFonts w:ascii="Times New Roman" w:hAnsi="Times New Roman"/>
          <w:sz w:val="24"/>
          <w:szCs w:val="24"/>
        </w:rPr>
        <w:t>M</w:t>
      </w:r>
      <w:r>
        <w:rPr>
          <w:rFonts w:ascii="Times New Roman" w:hAnsi="Times New Roman"/>
          <w:sz w:val="24"/>
          <w:szCs w:val="24"/>
        </w:rPr>
        <w:t>écanisme.</w:t>
      </w:r>
    </w:p>
    <w:p w:rsidR="00790667" w:rsidRPr="001A528C" w:rsidRDefault="00790667" w:rsidP="001A528C">
      <w:pPr>
        <w:rPr>
          <w:sz w:val="24"/>
          <w:szCs w:val="24"/>
        </w:rPr>
      </w:pPr>
    </w:p>
    <w:sectPr w:rsidR="00790667" w:rsidRPr="001A528C" w:rsidSect="0079066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1A528C"/>
    <w:rsid w:val="001A528C"/>
    <w:rsid w:val="003E3B95"/>
    <w:rsid w:val="00790667"/>
    <w:rsid w:val="00CA649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28C"/>
    <w:pPr>
      <w:ind w:hanging="567"/>
      <w:jc w:val="both"/>
    </w:pPr>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496</Words>
  <Characters>2732</Characters>
  <Application>Microsoft Office Word</Application>
  <DocSecurity>0</DocSecurity>
  <Lines>22</Lines>
  <Paragraphs>6</Paragraphs>
  <ScaleCrop>false</ScaleCrop>
  <Company>Hewlett-Packard</Company>
  <LinksUpToDate>false</LinksUpToDate>
  <CharactersWithSpaces>3222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2015-10-02T15:36:00Z</dcterms:created>
  <dcterms:modified xsi:type="dcterms:W3CDTF">2015-10-05T07:45:00Z</dcterms:modified>
</cp:coreProperties>
</file>