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2818" w:rsidRDefault="00444D44" w:rsidP="00444D44">
      <w:pPr>
        <w:jc w:val="both"/>
        <w:rPr>
          <w:rFonts w:asciiTheme="majorBidi" w:hAnsiTheme="majorBidi" w:cstheme="majorBidi"/>
          <w:b/>
          <w:bCs/>
          <w:sz w:val="32"/>
          <w:szCs w:val="32"/>
        </w:rPr>
      </w:pPr>
      <w:r w:rsidRPr="001C2818">
        <w:rPr>
          <w:rFonts w:asciiTheme="majorBidi" w:hAnsiTheme="majorBidi" w:cstheme="majorBidi"/>
          <w:b/>
          <w:bCs/>
          <w:sz w:val="32"/>
          <w:szCs w:val="32"/>
        </w:rPr>
        <w:t xml:space="preserve">       </w:t>
      </w:r>
    </w:p>
    <w:p w:rsidR="001C2818" w:rsidRDefault="001C2818" w:rsidP="00444D44">
      <w:pPr>
        <w:jc w:val="both"/>
        <w:rPr>
          <w:rFonts w:asciiTheme="majorBidi" w:hAnsiTheme="majorBidi" w:cstheme="majorBidi"/>
          <w:b/>
          <w:bCs/>
          <w:sz w:val="32"/>
          <w:szCs w:val="32"/>
        </w:rPr>
      </w:pPr>
    </w:p>
    <w:p w:rsidR="001C2818" w:rsidRDefault="001C2818" w:rsidP="00444D44">
      <w:pPr>
        <w:jc w:val="both"/>
        <w:rPr>
          <w:rFonts w:asciiTheme="majorBidi" w:hAnsiTheme="majorBidi" w:cstheme="majorBidi"/>
          <w:b/>
          <w:bCs/>
          <w:sz w:val="32"/>
          <w:szCs w:val="32"/>
        </w:rPr>
      </w:pPr>
    </w:p>
    <w:p w:rsidR="004160E9" w:rsidRPr="001C2818" w:rsidRDefault="0036221A" w:rsidP="00444D44">
      <w:pPr>
        <w:jc w:val="both"/>
        <w:rPr>
          <w:rFonts w:asciiTheme="majorBidi" w:hAnsiTheme="majorBidi" w:cstheme="majorBidi"/>
          <w:b/>
          <w:bCs/>
          <w:sz w:val="32"/>
          <w:szCs w:val="32"/>
          <w:u w:val="single"/>
        </w:rPr>
      </w:pPr>
      <w:bookmarkStart w:id="0" w:name="_GoBack"/>
      <w:bookmarkEnd w:id="0"/>
      <w:r w:rsidRPr="001C2818">
        <w:rPr>
          <w:rFonts w:asciiTheme="majorBidi" w:hAnsiTheme="majorBidi" w:cstheme="majorBidi"/>
          <w:b/>
          <w:bCs/>
          <w:sz w:val="32"/>
          <w:szCs w:val="32"/>
          <w:u w:val="single"/>
        </w:rPr>
        <w:t>Résumé</w:t>
      </w:r>
      <w:r w:rsidR="001C2818">
        <w:rPr>
          <w:rFonts w:asciiTheme="majorBidi" w:hAnsiTheme="majorBidi" w:cstheme="majorBidi"/>
          <w:b/>
          <w:bCs/>
          <w:sz w:val="32"/>
          <w:szCs w:val="32"/>
          <w:u w:val="single"/>
        </w:rPr>
        <w:t> </w:t>
      </w:r>
      <w:r w:rsidR="001C2818" w:rsidRPr="001C2818">
        <w:rPr>
          <w:rFonts w:asciiTheme="majorBidi" w:hAnsiTheme="majorBidi" w:cstheme="majorBidi"/>
          <w:b/>
          <w:bCs/>
          <w:sz w:val="32"/>
          <w:szCs w:val="32"/>
        </w:rPr>
        <w:t>:</w:t>
      </w:r>
      <w:r w:rsidR="00444D44" w:rsidRPr="001C2818">
        <w:rPr>
          <w:rFonts w:asciiTheme="majorBidi" w:hAnsiTheme="majorBidi" w:cstheme="majorBidi"/>
          <w:b/>
          <w:bCs/>
          <w:sz w:val="32"/>
          <w:szCs w:val="32"/>
          <w:u w:val="single"/>
        </w:rPr>
        <w:t xml:space="preserve">      </w:t>
      </w:r>
    </w:p>
    <w:p w:rsidR="005C48F6" w:rsidRDefault="00444D44" w:rsidP="001C2818">
      <w:pPr>
        <w:spacing w:line="360" w:lineRule="auto"/>
        <w:ind w:firstLine="708"/>
        <w:jc w:val="both"/>
        <w:rPr>
          <w:rFonts w:asciiTheme="majorBidi" w:hAnsiTheme="majorBidi" w:cstheme="majorBidi"/>
          <w:sz w:val="24"/>
          <w:szCs w:val="24"/>
        </w:rPr>
      </w:pPr>
      <w:r w:rsidRPr="00444D44">
        <w:rPr>
          <w:rFonts w:asciiTheme="majorBidi" w:hAnsiTheme="majorBidi" w:cstheme="majorBidi"/>
          <w:i/>
          <w:iCs/>
          <w:sz w:val="24"/>
          <w:szCs w:val="24"/>
        </w:rPr>
        <w:t xml:space="preserve"> </w:t>
      </w:r>
      <w:r w:rsidRPr="00444D44">
        <w:rPr>
          <w:rFonts w:asciiTheme="majorBidi" w:hAnsiTheme="majorBidi" w:cstheme="majorBidi"/>
          <w:sz w:val="24"/>
          <w:szCs w:val="24"/>
        </w:rPr>
        <w:t xml:space="preserve">Les observations spectroscopiques </w:t>
      </w:r>
      <w:r>
        <w:rPr>
          <w:rFonts w:asciiTheme="majorBidi" w:hAnsiTheme="majorBidi" w:cstheme="majorBidi"/>
          <w:sz w:val="24"/>
          <w:szCs w:val="24"/>
        </w:rPr>
        <w:t xml:space="preserve">ont </w:t>
      </w:r>
      <w:r w:rsidRPr="00444D44">
        <w:rPr>
          <w:rFonts w:asciiTheme="majorBidi" w:hAnsiTheme="majorBidi" w:cstheme="majorBidi"/>
          <w:sz w:val="24"/>
          <w:szCs w:val="24"/>
        </w:rPr>
        <w:t>permis la détection de plusieurs nouvelles espèces chimiques dans l'espace interstellaire. Ces découvertes ont suscité un intérêt sans cesse croissant porté, en particulier, sur les interactions possibles entre ces espèces chimiques. Nous nous proposons, dans ce travail, d'examiner, par des méthodes de la chimie quantique, les possibilités de réactions chimiques entre l'ozone (O</w:t>
      </w:r>
      <w:r w:rsidRPr="00444D44">
        <w:rPr>
          <w:rFonts w:asciiTheme="majorBidi" w:hAnsiTheme="majorBidi" w:cstheme="majorBidi"/>
          <w:sz w:val="24"/>
          <w:szCs w:val="24"/>
          <w:vertAlign w:val="subscript"/>
        </w:rPr>
        <w:t>3</w:t>
      </w:r>
      <w:r w:rsidRPr="00444D44">
        <w:rPr>
          <w:rFonts w:asciiTheme="majorBidi" w:hAnsiTheme="majorBidi" w:cstheme="majorBidi"/>
          <w:sz w:val="24"/>
          <w:szCs w:val="24"/>
        </w:rPr>
        <w:t>) et HCN et HNC d'une part, et CH</w:t>
      </w:r>
      <w:r w:rsidRPr="00444D44">
        <w:rPr>
          <w:rFonts w:asciiTheme="majorBidi" w:hAnsiTheme="majorBidi" w:cstheme="majorBidi"/>
          <w:sz w:val="24"/>
          <w:szCs w:val="24"/>
          <w:vertAlign w:val="superscript"/>
        </w:rPr>
        <w:t xml:space="preserve">+ </w:t>
      </w:r>
      <w:r w:rsidRPr="00444D44">
        <w:rPr>
          <w:rFonts w:asciiTheme="majorBidi" w:hAnsiTheme="majorBidi" w:cstheme="majorBidi"/>
          <w:sz w:val="24"/>
          <w:szCs w:val="24"/>
        </w:rPr>
        <w:t xml:space="preserve"> d'autre part. Nous nous sommes attelés à déterminer  toutes les voies réactionnelles possibles, la cinétique et la thermodynamique de ces réactions ainsi que l'ensemble des produits et intermédiaires réactionnels auxquels celle-ci conduisent. Une analyse topologique AIM, nous a permis de mettre en évidence la structure de chaque espèce chimique qui apparaît au cours de ces réactions</w:t>
      </w:r>
      <w:r>
        <w:rPr>
          <w:rFonts w:asciiTheme="majorBidi" w:hAnsiTheme="majorBidi" w:cstheme="majorBidi"/>
          <w:sz w:val="24"/>
          <w:szCs w:val="24"/>
        </w:rPr>
        <w:t>.</w:t>
      </w:r>
    </w:p>
    <w:sectPr w:rsidR="005C48F6" w:rsidSect="005C48F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displayBackgroundShape/>
  <w:defaultTabStop w:val="708"/>
  <w:hyphenationZone w:val="425"/>
  <w:characterSpacingControl w:val="doNotCompress"/>
  <w:compat>
    <w:compatSetting w:name="compatibilityMode" w:uri="http://schemas.microsoft.com/office/word" w:val="12"/>
  </w:compat>
  <w:rsids>
    <w:rsidRoot w:val="00444D44"/>
    <w:rsid w:val="001C2818"/>
    <w:rsid w:val="002B0EF4"/>
    <w:rsid w:val="0036221A"/>
    <w:rsid w:val="004160E9"/>
    <w:rsid w:val="0042013D"/>
    <w:rsid w:val="00444D44"/>
    <w:rsid w:val="005C48F6"/>
    <w:rsid w:val="00C3743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48F6"/>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133</Words>
  <Characters>736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BELMECHERI</dc:creator>
  <cp:lastModifiedBy>b-13</cp:lastModifiedBy>
  <cp:revision>4</cp:revision>
  <dcterms:created xsi:type="dcterms:W3CDTF">2018-11-12T08:41:00Z</dcterms:created>
  <dcterms:modified xsi:type="dcterms:W3CDTF">2019-05-19T11:11:00Z</dcterms:modified>
</cp:coreProperties>
</file>