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B60D8" w:rsidRPr="006B60D8" w:rsidRDefault="006B60D8" w:rsidP="006B60D8">
      <w:pPr>
        <w:bidi w:val="0"/>
        <w:rPr>
          <w:lang w:val="fr-FR" w:bidi="ar-DZ"/>
        </w:rPr>
      </w:pPr>
      <w:r w:rsidRPr="006B60D8">
        <w:rPr>
          <w:lang w:val="fr-FR" w:bidi="ar-DZ"/>
        </w:rPr>
        <w:t>Deux cristaux liquides de type nématique ont été utilisés comme phase stationnaire en chromatographie en phase gazeuse capillaire. L'étude a été menée sur deux nouveaux cristaux liquides nématiques ;</w:t>
      </w:r>
    </w:p>
    <w:p w:rsidR="006B60D8" w:rsidRPr="006B60D8" w:rsidRDefault="006B60D8" w:rsidP="006B60D8">
      <w:pPr>
        <w:bidi w:val="0"/>
        <w:rPr>
          <w:lang w:val="fr-FR" w:bidi="ar-DZ"/>
        </w:rPr>
      </w:pPr>
      <w:r w:rsidRPr="006B60D8">
        <w:rPr>
          <w:lang w:val="fr-FR" w:bidi="ar-DZ"/>
        </w:rPr>
        <w:t>CL (X1): Benzoïc acid-4-heptyl-2,3-dimethyl-4-[4-[(4-methyl pyridinyl) phenyl] azo] phenyl ester.</w:t>
      </w:r>
    </w:p>
    <w:p w:rsidR="006B60D8" w:rsidRPr="006B60D8" w:rsidRDefault="006B60D8" w:rsidP="006B60D8">
      <w:pPr>
        <w:bidi w:val="0"/>
        <w:rPr>
          <w:lang w:val="fr-FR" w:bidi="ar-DZ"/>
        </w:rPr>
      </w:pPr>
      <w:r w:rsidRPr="006B60D8">
        <w:rPr>
          <w:lang w:val="fr-FR" w:bidi="ar-DZ"/>
        </w:rPr>
        <w:t>CL (S4) : Benzoïc acid-4-pentyl-4-[(1E)-[10-[4-méthyl phenyl-2,3,4,5-tetrahydro-1,6-benzodioxacyclododecin-7-yl] azo] phenyl ester. Leurs études structurales ont été menées par RMN du proton et par spectrométrie de masse en désorption ionisation chimique positive (DCI).Les propriétés thermiques de ces composés ont été déterminées par analyse calorimétrique différentielle (DSC).La nature de la mésophase a été étudiée par microscopie électronique.Les performances analytiques de ces composés mésogènes ont été mises en évidence grâce à l'utilisation de colonnes capillaires, remplies et traitées au laboratoire.Les cristaux liquides étudiés présentent des propriétés analytiques remarquables notamment dans la séparation des isomères de position (les hydrocarbures aromatiques, les dérivés phénoliques, les composés volatils d'huiles essentielles…), et des isomères géométriques éthyléniques ou cyclaniques présents dans les produits naturels…Une étude de l'influence du pourcentage de la phase stationnaire CL (X1) sur les propriétés de rétention a montrée que pour un soluté donné et dans les mêmes conditions opératoires, les temps de rétention augmentent avec l'augmentation du pourcentage de la phase cristal liquide CL (X1) . La meilleure résolution est obtenue avec un taux d'imprégnation de la phase stationnaire égale à 5%.  Une étude comparative des propriétés chromatographiques a été réalisée entre la phase cristal liquide, CL (X1) (5%), phase stationnaire la plus sélective, et le composé mésogène, CL (S4). Des résultats intéressants ont été obtenus sur les deux phases stationnaires et des inversions dans l'ordre d'élution ont été observées.</w:t>
      </w:r>
    </w:p>
    <w:p w:rsidR="001559E1" w:rsidRPr="006B60D8" w:rsidRDefault="001559E1" w:rsidP="006B60D8">
      <w:pPr>
        <w:bidi w:val="0"/>
        <w:rPr>
          <w:rFonts w:hint="cs"/>
          <w:lang w:val="fr-FR" w:bidi="ar-DZ"/>
        </w:rPr>
      </w:pPr>
    </w:p>
    <w:sectPr w:rsidR="001559E1" w:rsidRPr="006B60D8"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6B60D8"/>
    <w:rsid w:val="001559E1"/>
    <w:rsid w:val="005F47AF"/>
    <w:rsid w:val="006B60D8"/>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559E1"/>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292</Words>
  <Characters>1668</Characters>
  <Application>Microsoft Office Word</Application>
  <DocSecurity>0</DocSecurity>
  <Lines>13</Lines>
  <Paragraphs>3</Paragraphs>
  <ScaleCrop>false</ScaleCrop>
  <Company/>
  <LinksUpToDate>false</LinksUpToDate>
  <CharactersWithSpaces>1957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1</cp:revision>
  <dcterms:created xsi:type="dcterms:W3CDTF">2015-10-04T09:19:00Z</dcterms:created>
  <dcterms:modified xsi:type="dcterms:W3CDTF">2015-10-04T09:19:00Z</dcterms:modified>
</cp:coreProperties>
</file>