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D15" w:rsidRDefault="00FE4D15" w:rsidP="00FE4D15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  <w:r>
        <w:rPr>
          <w:rFonts w:ascii="Times New Roman" w:eastAsia="MS Mincho" w:hAnsi="Times New Roman"/>
          <w:b/>
          <w:bCs/>
          <w:sz w:val="24"/>
          <w:szCs w:val="24"/>
        </w:rPr>
        <w:t>RÉSUMÉ</w:t>
      </w:r>
    </w:p>
    <w:p w:rsidR="00FE4D15" w:rsidRDefault="00FE4D15" w:rsidP="00FE4D15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</w:p>
    <w:p w:rsidR="00FE4D15" w:rsidRDefault="00FE4D15" w:rsidP="00FE4D15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</w:p>
    <w:p w:rsidR="00FE4D15" w:rsidRDefault="00FE4D15" w:rsidP="00FE4D15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</w:p>
    <w:p w:rsidR="00FE4D15" w:rsidRDefault="00C95E61" w:rsidP="007E49DC">
      <w:p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Style w:val="hps"/>
          <w:rFonts w:ascii="Times New Roman" w:hAnsi="Times New Roman"/>
          <w:color w:val="000000"/>
          <w:sz w:val="24"/>
          <w:szCs w:val="24"/>
        </w:rPr>
        <w:t xml:space="preserve">La </w:t>
      </w:r>
      <w:proofErr w:type="spellStart"/>
      <w:r>
        <w:rPr>
          <w:rStyle w:val="hps"/>
          <w:rFonts w:ascii="Times New Roman" w:hAnsi="Times New Roman"/>
          <w:color w:val="000000"/>
          <w:sz w:val="24"/>
          <w:szCs w:val="24"/>
        </w:rPr>
        <w:t>kaliotoxine</w:t>
      </w:r>
      <w:proofErr w:type="spellEnd"/>
      <w:r>
        <w:rPr>
          <w:rStyle w:val="hps"/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>
        <w:rPr>
          <w:rStyle w:val="hps"/>
          <w:rFonts w:ascii="Times New Roman" w:hAnsi="Times New Roman"/>
          <w:color w:val="000000"/>
          <w:sz w:val="24"/>
          <w:szCs w:val="24"/>
        </w:rPr>
        <w:t>KTx</w:t>
      </w:r>
      <w:proofErr w:type="spellEnd"/>
      <w:r w:rsidR="00FE4D15" w:rsidRPr="009843C7">
        <w:rPr>
          <w:rStyle w:val="hps"/>
          <w:rFonts w:ascii="Times New Roman" w:hAnsi="Times New Roman"/>
          <w:color w:val="000000"/>
          <w:sz w:val="24"/>
          <w:szCs w:val="24"/>
        </w:rPr>
        <w:t xml:space="preserve">) est une </w:t>
      </w:r>
      <w:r w:rsidR="00FE4D15">
        <w:rPr>
          <w:rStyle w:val="hps"/>
          <w:rFonts w:ascii="Times New Roman" w:hAnsi="Times New Roman"/>
          <w:color w:val="000000"/>
          <w:sz w:val="24"/>
          <w:szCs w:val="24"/>
        </w:rPr>
        <w:t>neurotoxine courte</w:t>
      </w:r>
      <w:r w:rsidR="00FE4D15" w:rsidRPr="009843C7">
        <w:rPr>
          <w:rStyle w:val="hps"/>
          <w:rFonts w:ascii="Times New Roman" w:hAnsi="Times New Roman"/>
          <w:color w:val="000000"/>
          <w:sz w:val="24"/>
          <w:szCs w:val="24"/>
        </w:rPr>
        <w:t xml:space="preserve"> </w:t>
      </w:r>
      <w:r w:rsidR="00FE4D15">
        <w:rPr>
          <w:rStyle w:val="hps"/>
          <w:rFonts w:ascii="Times New Roman" w:hAnsi="Times New Roman"/>
          <w:color w:val="000000"/>
          <w:sz w:val="24"/>
          <w:szCs w:val="24"/>
        </w:rPr>
        <w:t>purifiée</w:t>
      </w:r>
      <w:r w:rsidR="00FE4D15" w:rsidRPr="009843C7">
        <w:rPr>
          <w:rStyle w:val="hps"/>
          <w:rFonts w:ascii="Times New Roman" w:hAnsi="Times New Roman"/>
          <w:color w:val="000000"/>
          <w:sz w:val="24"/>
          <w:szCs w:val="24"/>
        </w:rPr>
        <w:t xml:space="preserve"> à partir du venin </w:t>
      </w:r>
      <w:r w:rsidR="00FE4D15" w:rsidRPr="004E16DB">
        <w:rPr>
          <w:rStyle w:val="hps"/>
          <w:rFonts w:ascii="Times New Roman" w:hAnsi="Times New Roman"/>
          <w:i/>
          <w:color w:val="000000"/>
          <w:sz w:val="24"/>
          <w:szCs w:val="24"/>
        </w:rPr>
        <w:t>d’</w:t>
      </w:r>
      <w:proofErr w:type="spellStart"/>
      <w:r w:rsidR="00FE4D15" w:rsidRPr="004E16DB">
        <w:rPr>
          <w:rFonts w:ascii="Times New Roman" w:hAnsi="Times New Roman"/>
          <w:i/>
          <w:iCs/>
          <w:color w:val="000000"/>
          <w:sz w:val="24"/>
          <w:szCs w:val="24"/>
        </w:rPr>
        <w:t>Androctonus</w:t>
      </w:r>
      <w:proofErr w:type="spellEnd"/>
      <w:r w:rsidR="00FE4D15" w:rsidRPr="004E16DB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="00FE4D15" w:rsidRPr="004E16DB">
        <w:rPr>
          <w:rFonts w:ascii="Times New Roman" w:hAnsi="Times New Roman"/>
          <w:i/>
          <w:iCs/>
          <w:color w:val="000000"/>
          <w:sz w:val="24"/>
          <w:szCs w:val="24"/>
        </w:rPr>
        <w:t>australis</w:t>
      </w:r>
      <w:proofErr w:type="spellEnd"/>
      <w:r w:rsidR="00FE4D15" w:rsidRPr="004E16DB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="00FE4D15" w:rsidRPr="004E16DB">
        <w:rPr>
          <w:rFonts w:ascii="Times New Roman" w:hAnsi="Times New Roman"/>
          <w:i/>
          <w:iCs/>
          <w:color w:val="000000"/>
          <w:sz w:val="24"/>
          <w:szCs w:val="24"/>
        </w:rPr>
        <w:t>hector</w:t>
      </w:r>
      <w:proofErr w:type="spellEnd"/>
      <w:r w:rsidR="00FE4D15" w:rsidRPr="009843C7">
        <w:rPr>
          <w:rFonts w:ascii="Times New Roman" w:hAnsi="Times New Roman"/>
          <w:iCs/>
          <w:color w:val="000000"/>
          <w:sz w:val="24"/>
          <w:szCs w:val="24"/>
        </w:rPr>
        <w:t xml:space="preserve">, </w:t>
      </w:r>
      <w:r w:rsidR="00FE4D15" w:rsidRPr="009843C7">
        <w:rPr>
          <w:rFonts w:ascii="Times New Roman" w:hAnsi="Times New Roman"/>
          <w:color w:val="000000"/>
          <w:sz w:val="24"/>
          <w:szCs w:val="24"/>
        </w:rPr>
        <w:t>elle b</w:t>
      </w:r>
      <w:r w:rsidR="00FE4D15" w:rsidRPr="009843C7">
        <w:rPr>
          <w:rStyle w:val="hps"/>
          <w:rFonts w:ascii="Times New Roman" w:hAnsi="Times New Roman"/>
          <w:color w:val="000000"/>
          <w:sz w:val="24"/>
          <w:szCs w:val="24"/>
        </w:rPr>
        <w:t>loque spécifiquement les canaux potassiques voltage-dépendants</w:t>
      </w:r>
      <w:r w:rsidR="00FE4D15">
        <w:rPr>
          <w:rStyle w:val="hps"/>
          <w:rFonts w:ascii="Times New Roman" w:hAnsi="Times New Roman"/>
          <w:color w:val="000000"/>
          <w:sz w:val="24"/>
          <w:szCs w:val="24"/>
        </w:rPr>
        <w:t xml:space="preserve"> (</w:t>
      </w:r>
      <w:proofErr w:type="spellStart"/>
      <w:r w:rsidR="00FE4D15">
        <w:rPr>
          <w:rStyle w:val="hps"/>
          <w:rFonts w:ascii="Times New Roman" w:hAnsi="Times New Roman"/>
          <w:color w:val="000000"/>
          <w:sz w:val="24"/>
          <w:szCs w:val="24"/>
        </w:rPr>
        <w:t>Kv</w:t>
      </w:r>
      <w:proofErr w:type="spellEnd"/>
      <w:r w:rsidR="00FE4D15">
        <w:rPr>
          <w:rStyle w:val="hps"/>
          <w:rFonts w:ascii="Times New Roman" w:hAnsi="Times New Roman"/>
          <w:color w:val="000000"/>
          <w:sz w:val="24"/>
          <w:szCs w:val="24"/>
        </w:rPr>
        <w:t>)</w:t>
      </w:r>
      <w:r w:rsidR="00FE4D15" w:rsidRPr="009843C7">
        <w:rPr>
          <w:rStyle w:val="hps"/>
          <w:rFonts w:ascii="Times New Roman" w:hAnsi="Times New Roman"/>
          <w:color w:val="000000"/>
          <w:sz w:val="24"/>
          <w:szCs w:val="24"/>
        </w:rPr>
        <w:t>.</w:t>
      </w:r>
      <w:r w:rsidR="00FE4D15">
        <w:rPr>
          <w:rFonts w:ascii="Times New Roman" w:hAnsi="Times New Roman"/>
          <w:sz w:val="24"/>
          <w:szCs w:val="24"/>
        </w:rPr>
        <w:t xml:space="preserve"> Ces canaux sont </w:t>
      </w:r>
      <w:r w:rsidR="00FE4D15" w:rsidRPr="00E43B27">
        <w:rPr>
          <w:rFonts w:ascii="Times New Roman" w:hAnsi="Times New Roman"/>
          <w:sz w:val="24"/>
          <w:szCs w:val="24"/>
        </w:rPr>
        <w:t>impliqué</w:t>
      </w:r>
      <w:r w:rsidR="00FE4D15">
        <w:rPr>
          <w:rFonts w:ascii="Times New Roman" w:hAnsi="Times New Roman"/>
          <w:sz w:val="24"/>
          <w:szCs w:val="24"/>
        </w:rPr>
        <w:t>s</w:t>
      </w:r>
      <w:r w:rsidR="00FE4D15" w:rsidRPr="00E43B27">
        <w:rPr>
          <w:rFonts w:ascii="Times New Roman" w:hAnsi="Times New Roman"/>
          <w:sz w:val="24"/>
          <w:szCs w:val="24"/>
        </w:rPr>
        <w:t xml:space="preserve"> dans la </w:t>
      </w:r>
      <w:r w:rsidR="00FE4D15">
        <w:rPr>
          <w:rFonts w:ascii="Times New Roman" w:hAnsi="Times New Roman"/>
          <w:sz w:val="24"/>
          <w:szCs w:val="24"/>
        </w:rPr>
        <w:t xml:space="preserve">phase de </w:t>
      </w:r>
      <w:proofErr w:type="spellStart"/>
      <w:r w:rsidR="00FE4D15" w:rsidRPr="00E43B27">
        <w:rPr>
          <w:rFonts w:ascii="Times New Roman" w:hAnsi="Times New Roman"/>
          <w:sz w:val="24"/>
          <w:szCs w:val="24"/>
        </w:rPr>
        <w:t>repolarisation</w:t>
      </w:r>
      <w:proofErr w:type="spellEnd"/>
      <w:r w:rsidR="00FE4D15" w:rsidRPr="00E43B27">
        <w:rPr>
          <w:rFonts w:ascii="Times New Roman" w:hAnsi="Times New Roman"/>
          <w:sz w:val="24"/>
          <w:szCs w:val="24"/>
        </w:rPr>
        <w:t xml:space="preserve"> de la membrane </w:t>
      </w:r>
      <w:r w:rsidR="00FE4D15">
        <w:rPr>
          <w:rFonts w:ascii="Times New Roman" w:hAnsi="Times New Roman"/>
          <w:sz w:val="24"/>
          <w:szCs w:val="24"/>
        </w:rPr>
        <w:t>et joue</w:t>
      </w:r>
      <w:r w:rsidR="00551CB7">
        <w:rPr>
          <w:rFonts w:ascii="Times New Roman" w:hAnsi="Times New Roman"/>
          <w:sz w:val="24"/>
          <w:szCs w:val="24"/>
        </w:rPr>
        <w:t>nt</w:t>
      </w:r>
      <w:r w:rsidR="00FE4D15" w:rsidRPr="00E43B27">
        <w:rPr>
          <w:rFonts w:ascii="Times New Roman" w:hAnsi="Times New Roman"/>
          <w:sz w:val="24"/>
          <w:szCs w:val="24"/>
        </w:rPr>
        <w:t xml:space="preserve"> un rôle important dans le contrôle de l'excitabilité nerveuse.</w:t>
      </w:r>
    </w:p>
    <w:p w:rsidR="00FE4D15" w:rsidRDefault="00FE4D15" w:rsidP="00DA7F5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9843C7">
        <w:rPr>
          <w:rFonts w:ascii="Times New Roman" w:hAnsi="Times New Roman"/>
          <w:sz w:val="24"/>
          <w:szCs w:val="24"/>
        </w:rPr>
        <w:t>Dans cette étude, nous avons développé un modèle de pathologie</w:t>
      </w:r>
      <w:r w:rsidR="000B294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294D" w:rsidRPr="000B294D">
        <w:rPr>
          <w:rFonts w:ascii="Times New Roman" w:hAnsi="Times New Roman"/>
          <w:sz w:val="24"/>
          <w:szCs w:val="24"/>
        </w:rPr>
        <w:t>neurodégénérative</w:t>
      </w:r>
      <w:proofErr w:type="spellEnd"/>
      <w:r w:rsidRPr="009843C7">
        <w:rPr>
          <w:rFonts w:ascii="Times New Roman" w:hAnsi="Times New Roman"/>
          <w:sz w:val="24"/>
          <w:szCs w:val="24"/>
        </w:rPr>
        <w:t xml:space="preserve"> </w:t>
      </w:r>
      <w:r w:rsidR="00C95E61">
        <w:rPr>
          <w:rFonts w:ascii="Times New Roman" w:hAnsi="Times New Roman"/>
          <w:sz w:val="24"/>
          <w:szCs w:val="24"/>
        </w:rPr>
        <w:t xml:space="preserve">en utilisant la </w:t>
      </w:r>
      <w:proofErr w:type="spellStart"/>
      <w:r w:rsidR="00C95E61">
        <w:rPr>
          <w:rFonts w:ascii="Times New Roman" w:hAnsi="Times New Roman"/>
          <w:sz w:val="24"/>
          <w:szCs w:val="24"/>
        </w:rPr>
        <w:t>KTx</w:t>
      </w:r>
      <w:proofErr w:type="spellEnd"/>
      <w:r w:rsidR="00DA7F5F">
        <w:rPr>
          <w:rFonts w:ascii="Times New Roman" w:hAnsi="Times New Roman"/>
          <w:sz w:val="24"/>
          <w:szCs w:val="24"/>
        </w:rPr>
        <w:t>, c</w:t>
      </w:r>
      <w:r>
        <w:rPr>
          <w:rFonts w:ascii="Times New Roman" w:hAnsi="Times New Roman"/>
          <w:sz w:val="24"/>
          <w:szCs w:val="24"/>
        </w:rPr>
        <w:t xml:space="preserve">e modèle a été utilisé pour </w:t>
      </w:r>
      <w:r w:rsidRPr="000A561C">
        <w:rPr>
          <w:rFonts w:ascii="Times New Roman" w:hAnsi="Times New Roman"/>
          <w:sz w:val="24"/>
          <w:szCs w:val="24"/>
        </w:rPr>
        <w:t xml:space="preserve">déterminer si </w:t>
      </w:r>
      <w:r>
        <w:rPr>
          <w:rFonts w:ascii="Times New Roman" w:hAnsi="Times New Roman"/>
          <w:sz w:val="24"/>
          <w:szCs w:val="24"/>
        </w:rPr>
        <w:t>le blocage</w:t>
      </w:r>
      <w:r w:rsidRPr="000A561C">
        <w:rPr>
          <w:rFonts w:ascii="Times New Roman" w:hAnsi="Times New Roman"/>
          <w:sz w:val="24"/>
          <w:szCs w:val="24"/>
        </w:rPr>
        <w:t xml:space="preserve"> des canaux </w:t>
      </w:r>
      <w:proofErr w:type="spellStart"/>
      <w:r>
        <w:rPr>
          <w:rFonts w:ascii="Times New Roman" w:hAnsi="Times New Roman"/>
          <w:sz w:val="24"/>
          <w:szCs w:val="24"/>
        </w:rPr>
        <w:t>Kv</w:t>
      </w:r>
      <w:proofErr w:type="spellEnd"/>
      <w:r w:rsidRPr="000A561C">
        <w:rPr>
          <w:rFonts w:ascii="Times New Roman" w:hAnsi="Times New Roman"/>
          <w:sz w:val="24"/>
          <w:szCs w:val="24"/>
        </w:rPr>
        <w:t xml:space="preserve"> peut être un événement déclencheur des mécanismes </w:t>
      </w:r>
      <w:proofErr w:type="spellStart"/>
      <w:r w:rsidRPr="000A561C">
        <w:rPr>
          <w:rFonts w:ascii="Times New Roman" w:hAnsi="Times New Roman"/>
          <w:sz w:val="24"/>
          <w:szCs w:val="24"/>
        </w:rPr>
        <w:t>neuro</w:t>
      </w:r>
      <w:proofErr w:type="spellEnd"/>
      <w:r w:rsidRPr="000A561C">
        <w:rPr>
          <w:rFonts w:ascii="Times New Roman" w:hAnsi="Times New Roman"/>
          <w:sz w:val="24"/>
          <w:szCs w:val="24"/>
        </w:rPr>
        <w:t>-inflammatoire</w:t>
      </w:r>
      <w:r>
        <w:rPr>
          <w:rFonts w:ascii="Times New Roman" w:hAnsi="Times New Roman"/>
          <w:sz w:val="24"/>
          <w:szCs w:val="24"/>
        </w:rPr>
        <w:t>s</w:t>
      </w:r>
      <w:r w:rsidRPr="000A561C">
        <w:rPr>
          <w:rFonts w:ascii="Times New Roman" w:hAnsi="Times New Roman"/>
          <w:sz w:val="24"/>
          <w:szCs w:val="24"/>
        </w:rPr>
        <w:t xml:space="preserve"> et du processus d’</w:t>
      </w:r>
      <w:proofErr w:type="spellStart"/>
      <w:r w:rsidRPr="000A561C">
        <w:rPr>
          <w:rFonts w:ascii="Times New Roman" w:hAnsi="Times New Roman"/>
          <w:sz w:val="24"/>
          <w:szCs w:val="24"/>
        </w:rPr>
        <w:t>épileptogenèse</w:t>
      </w:r>
      <w:proofErr w:type="spellEnd"/>
      <w:r w:rsidRPr="000A561C">
        <w:rPr>
          <w:rFonts w:ascii="Times New Roman" w:hAnsi="Times New Roman"/>
          <w:sz w:val="24"/>
          <w:szCs w:val="24"/>
        </w:rPr>
        <w:t xml:space="preserve"> chez la souris.</w:t>
      </w:r>
      <w:r w:rsidR="00C95E61">
        <w:rPr>
          <w:rFonts w:ascii="Times New Roman" w:hAnsi="Times New Roman"/>
          <w:sz w:val="24"/>
          <w:szCs w:val="24"/>
        </w:rPr>
        <w:t xml:space="preserve"> </w:t>
      </w:r>
      <w:r w:rsidR="00C95E61">
        <w:rPr>
          <w:rFonts w:asciiTheme="majorBidi" w:hAnsiTheme="majorBidi" w:cstheme="majorBidi"/>
          <w:sz w:val="24"/>
          <w:szCs w:val="24"/>
        </w:rPr>
        <w:t>L</w:t>
      </w:r>
      <w:r w:rsidR="00C95E61" w:rsidRPr="004B0CA6">
        <w:rPr>
          <w:rFonts w:asciiTheme="majorBidi" w:hAnsiTheme="majorBidi" w:cstheme="majorBidi"/>
          <w:sz w:val="24"/>
          <w:szCs w:val="24"/>
        </w:rPr>
        <w:t xml:space="preserve">es effets </w:t>
      </w:r>
      <w:proofErr w:type="spellStart"/>
      <w:r w:rsidR="00C95E61" w:rsidRPr="004B0CA6">
        <w:rPr>
          <w:rFonts w:asciiTheme="majorBidi" w:hAnsiTheme="majorBidi" w:cstheme="majorBidi"/>
          <w:sz w:val="24"/>
          <w:szCs w:val="24"/>
        </w:rPr>
        <w:t>neuro</w:t>
      </w:r>
      <w:proofErr w:type="spellEnd"/>
      <w:r w:rsidR="00C95E61" w:rsidRPr="004B0CA6">
        <w:rPr>
          <w:rFonts w:asciiTheme="majorBidi" w:hAnsiTheme="majorBidi" w:cstheme="majorBidi"/>
          <w:sz w:val="24"/>
          <w:szCs w:val="24"/>
        </w:rPr>
        <w:t xml:space="preserve">-physiopathologiques de la </w:t>
      </w:r>
      <w:proofErr w:type="spellStart"/>
      <w:r w:rsidR="00C95E61" w:rsidRPr="004B0CA6">
        <w:rPr>
          <w:rFonts w:asciiTheme="majorBidi" w:hAnsiTheme="majorBidi" w:cstheme="majorBidi"/>
          <w:sz w:val="24"/>
          <w:szCs w:val="24"/>
        </w:rPr>
        <w:t>KTx</w:t>
      </w:r>
      <w:proofErr w:type="spellEnd"/>
      <w:r w:rsidR="00C95E61" w:rsidRPr="004B0CA6">
        <w:rPr>
          <w:rFonts w:asciiTheme="majorBidi" w:hAnsiTheme="majorBidi" w:cstheme="majorBidi"/>
          <w:sz w:val="24"/>
          <w:szCs w:val="24"/>
        </w:rPr>
        <w:t xml:space="preserve">  sont comparés </w:t>
      </w:r>
      <w:r w:rsidR="00C95E61" w:rsidRPr="004B0CA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à un modèle murin d’épilepsie induit par le </w:t>
      </w:r>
      <w:proofErr w:type="spellStart"/>
      <w:r w:rsidR="00C95E61" w:rsidRPr="004B0CA6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pentylènetétrazole</w:t>
      </w:r>
      <w:proofErr w:type="spellEnd"/>
      <w:r w:rsidR="00551CB7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 xml:space="preserve"> (PTZ)</w:t>
      </w:r>
      <w:r w:rsidR="00C95E61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</w:rPr>
        <w:t>.</w:t>
      </w:r>
      <w:r w:rsidRPr="000A561C">
        <w:rPr>
          <w:rFonts w:ascii="Times New Roman" w:hAnsi="Times New Roman"/>
          <w:sz w:val="24"/>
          <w:szCs w:val="24"/>
        </w:rPr>
        <w:t xml:space="preserve"> </w:t>
      </w:r>
      <w:r w:rsidRPr="009843C7">
        <w:rPr>
          <w:rFonts w:ascii="Times New Roman" w:hAnsi="Times New Roman"/>
          <w:sz w:val="24"/>
          <w:szCs w:val="24"/>
        </w:rPr>
        <w:t>Nous avons également testé l’effet de</w:t>
      </w:r>
      <w:r w:rsidR="00C95E61">
        <w:rPr>
          <w:rFonts w:ascii="Times New Roman" w:hAnsi="Times New Roman"/>
          <w:sz w:val="24"/>
          <w:szCs w:val="24"/>
        </w:rPr>
        <w:t xml:space="preserve"> </w:t>
      </w:r>
      <w:r w:rsidRPr="009843C7">
        <w:rPr>
          <w:rFonts w:ascii="Times New Roman" w:hAnsi="Times New Roman"/>
          <w:sz w:val="24"/>
          <w:szCs w:val="24"/>
        </w:rPr>
        <w:t>molécule</w:t>
      </w:r>
      <w:r w:rsidR="00C95E61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thérapeutique</w:t>
      </w:r>
      <w:r w:rsidR="009108BC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telle</w:t>
      </w:r>
      <w:r w:rsidR="009108BC">
        <w:rPr>
          <w:rFonts w:ascii="Times New Roman" w:hAnsi="Times New Roman"/>
          <w:sz w:val="24"/>
          <w:szCs w:val="24"/>
        </w:rPr>
        <w:t>s</w:t>
      </w:r>
      <w:r w:rsidRPr="009843C7">
        <w:rPr>
          <w:rFonts w:ascii="Times New Roman" w:hAnsi="Times New Roman"/>
          <w:sz w:val="24"/>
          <w:szCs w:val="24"/>
        </w:rPr>
        <w:t xml:space="preserve"> que l'</w:t>
      </w:r>
      <w:proofErr w:type="spellStart"/>
      <w:r w:rsidRPr="009843C7">
        <w:rPr>
          <w:rFonts w:ascii="Times New Roman" w:hAnsi="Times New Roman"/>
          <w:sz w:val="24"/>
          <w:szCs w:val="24"/>
        </w:rPr>
        <w:t>astaxanthine</w:t>
      </w:r>
      <w:proofErr w:type="spellEnd"/>
      <w:r w:rsidRPr="009843C7">
        <w:rPr>
          <w:rFonts w:ascii="Times New Roman" w:hAnsi="Times New Roman"/>
          <w:sz w:val="24"/>
          <w:szCs w:val="24"/>
        </w:rPr>
        <w:t xml:space="preserve"> (ATX) </w:t>
      </w:r>
      <w:r w:rsidR="009108BC">
        <w:rPr>
          <w:rFonts w:ascii="Times New Roman" w:hAnsi="Times New Roman"/>
          <w:sz w:val="24"/>
          <w:szCs w:val="24"/>
        </w:rPr>
        <w:t>et l’</w:t>
      </w:r>
      <w:proofErr w:type="spellStart"/>
      <w:r w:rsidR="009108BC">
        <w:rPr>
          <w:rFonts w:ascii="Times New Roman" w:hAnsi="Times New Roman"/>
          <w:sz w:val="24"/>
          <w:szCs w:val="24"/>
        </w:rPr>
        <w:t>ubiquinone</w:t>
      </w:r>
      <w:proofErr w:type="spellEnd"/>
      <w:r w:rsidR="009108BC">
        <w:rPr>
          <w:rFonts w:ascii="Times New Roman" w:hAnsi="Times New Roman"/>
          <w:sz w:val="24"/>
          <w:szCs w:val="24"/>
        </w:rPr>
        <w:t xml:space="preserve"> (CoQ</w:t>
      </w:r>
      <w:r w:rsidR="009108BC" w:rsidRPr="00470D1D">
        <w:rPr>
          <w:rFonts w:ascii="Times New Roman" w:hAnsi="Times New Roman"/>
          <w:sz w:val="24"/>
          <w:szCs w:val="24"/>
          <w:vertAlign w:val="subscript"/>
        </w:rPr>
        <w:t>10</w:t>
      </w:r>
      <w:r w:rsidR="009108BC">
        <w:rPr>
          <w:rFonts w:ascii="Times New Roman" w:hAnsi="Times New Roman"/>
          <w:sz w:val="24"/>
          <w:szCs w:val="24"/>
        </w:rPr>
        <w:t xml:space="preserve">) </w:t>
      </w:r>
      <w:r w:rsidRPr="009843C7">
        <w:rPr>
          <w:rFonts w:ascii="Times New Roman" w:hAnsi="Times New Roman"/>
          <w:sz w:val="24"/>
          <w:szCs w:val="24"/>
        </w:rPr>
        <w:t>sur les perturbations cérébrale</w:t>
      </w:r>
      <w:r>
        <w:rPr>
          <w:rFonts w:ascii="Times New Roman" w:hAnsi="Times New Roman"/>
          <w:sz w:val="24"/>
          <w:szCs w:val="24"/>
        </w:rPr>
        <w:t>s</w:t>
      </w:r>
      <w:r w:rsidRPr="009843C7">
        <w:rPr>
          <w:rFonts w:ascii="Times New Roman" w:hAnsi="Times New Roman"/>
          <w:sz w:val="24"/>
          <w:szCs w:val="24"/>
        </w:rPr>
        <w:t xml:space="preserve"> induites dans ce modèle.</w:t>
      </w:r>
    </w:p>
    <w:p w:rsidR="006C2651" w:rsidRDefault="006C2651" w:rsidP="007E49DC">
      <w:p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Les résultats montrent que </w:t>
      </w: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l</w:t>
      </w:r>
      <w:r w:rsidRPr="004B0CA6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>s deux</w:t>
      </w:r>
      <w:r w:rsidRPr="004B0CA6">
        <w:rPr>
          <w:rFonts w:asciiTheme="majorBidi" w:hAnsiTheme="majorBidi" w:cstheme="majorBidi"/>
          <w:sz w:val="24"/>
          <w:szCs w:val="24"/>
        </w:rPr>
        <w:t xml:space="preserve"> modèle</w:t>
      </w:r>
      <w:r w:rsidR="001B592B">
        <w:rPr>
          <w:rFonts w:asciiTheme="majorBidi" w:hAnsiTheme="majorBidi" w:cstheme="majorBidi"/>
          <w:sz w:val="24"/>
          <w:szCs w:val="24"/>
        </w:rPr>
        <w:t>s</w:t>
      </w:r>
      <w:r w:rsidRPr="004B0CA6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B0CA6">
        <w:rPr>
          <w:rFonts w:asciiTheme="majorBidi" w:hAnsiTheme="majorBidi" w:cstheme="majorBidi"/>
          <w:sz w:val="24"/>
          <w:szCs w:val="24"/>
        </w:rPr>
        <w:t>KTx</w:t>
      </w:r>
      <w:proofErr w:type="spellEnd"/>
      <w:r w:rsidRPr="004B0CA6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et</w:t>
      </w:r>
      <w:r w:rsidRPr="004B0CA6">
        <w:rPr>
          <w:rFonts w:asciiTheme="majorBidi" w:hAnsiTheme="majorBidi" w:cstheme="majorBidi"/>
          <w:sz w:val="24"/>
          <w:szCs w:val="24"/>
        </w:rPr>
        <w:t xml:space="preserve"> PTZ</w:t>
      </w:r>
      <w:r>
        <w:rPr>
          <w:rFonts w:asciiTheme="majorBidi" w:hAnsiTheme="majorBidi" w:cstheme="majorBidi"/>
          <w:sz w:val="24"/>
          <w:szCs w:val="24"/>
        </w:rPr>
        <w:t>,</w:t>
      </w:r>
      <w:r w:rsidRPr="004B0CA6">
        <w:rPr>
          <w:rFonts w:asciiTheme="majorBidi" w:hAnsiTheme="majorBidi" w:cstheme="majorBidi"/>
          <w:sz w:val="24"/>
          <w:szCs w:val="24"/>
        </w:rPr>
        <w:t xml:space="preserve"> présentent une forte activation des différents paramètres cellulaires et moléculaires de la réponse inflammatoire centrale </w:t>
      </w:r>
      <w:r>
        <w:rPr>
          <w:rFonts w:asciiTheme="majorBidi" w:hAnsiTheme="majorBidi" w:cstheme="majorBidi"/>
          <w:sz w:val="24"/>
          <w:szCs w:val="24"/>
        </w:rPr>
        <w:t>au niveau des</w:t>
      </w:r>
      <w:r w:rsidRPr="004B0CA6">
        <w:rPr>
          <w:rFonts w:asciiTheme="majorBidi" w:hAnsiTheme="majorBidi" w:cstheme="majorBidi"/>
          <w:sz w:val="24"/>
          <w:szCs w:val="24"/>
        </w:rPr>
        <w:t xml:space="preserve"> mêmes aires </w:t>
      </w:r>
      <w:r>
        <w:rPr>
          <w:rFonts w:asciiTheme="majorBidi" w:hAnsiTheme="majorBidi" w:cstheme="majorBidi"/>
          <w:sz w:val="24"/>
          <w:szCs w:val="24"/>
        </w:rPr>
        <w:t>cérébrales</w:t>
      </w:r>
      <w:r w:rsidRPr="004B0CA6">
        <w:rPr>
          <w:rFonts w:asciiTheme="majorBidi" w:hAnsiTheme="majorBidi" w:cstheme="majorBidi"/>
          <w:sz w:val="24"/>
          <w:szCs w:val="24"/>
        </w:rPr>
        <w:t xml:space="preserve"> (</w:t>
      </w:r>
      <w:r>
        <w:rPr>
          <w:rFonts w:asciiTheme="majorBidi" w:hAnsiTheme="majorBidi" w:cstheme="majorBidi"/>
          <w:sz w:val="24"/>
          <w:szCs w:val="24"/>
        </w:rPr>
        <w:t xml:space="preserve">cortex cérébral et hippocampe) </w:t>
      </w:r>
      <w:r w:rsidRPr="004B0CA6">
        <w:rPr>
          <w:rFonts w:asciiTheme="majorBidi" w:hAnsiTheme="majorBidi" w:cstheme="majorBidi"/>
          <w:sz w:val="24"/>
          <w:szCs w:val="24"/>
        </w:rPr>
        <w:t>et ce</w:t>
      </w:r>
      <w:r>
        <w:rPr>
          <w:rFonts w:asciiTheme="majorBidi" w:hAnsiTheme="majorBidi" w:cstheme="majorBidi"/>
          <w:sz w:val="24"/>
          <w:szCs w:val="24"/>
        </w:rPr>
        <w:t>, jusqu’à six mois.</w:t>
      </w:r>
    </w:p>
    <w:p w:rsidR="00720667" w:rsidRDefault="006C2651" w:rsidP="007E49DC">
      <w:p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L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a </w:t>
      </w:r>
      <w:proofErr w:type="spellStart"/>
      <w:r w:rsidR="000B294D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KTx</w:t>
      </w:r>
      <w:proofErr w:type="spellEnd"/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est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détecté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e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dans 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le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cortex cérébral en raison de sa liaison </w:t>
      </w:r>
      <w:r w:rsidR="000B294D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à son récepteur spécifique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</w:t>
      </w:r>
      <w:r w:rsidR="00FE4D15" w:rsidRPr="009843C7">
        <w:rPr>
          <w:rFonts w:ascii="Times New Roman" w:hAnsi="Times New Roman"/>
          <w:sz w:val="24"/>
          <w:szCs w:val="24"/>
        </w:rPr>
        <w:t xml:space="preserve">au niveau de la membrane </w:t>
      </w:r>
      <w:r w:rsidR="00FE4D15">
        <w:rPr>
          <w:rFonts w:ascii="Times New Roman" w:hAnsi="Times New Roman"/>
          <w:sz w:val="24"/>
          <w:szCs w:val="24"/>
        </w:rPr>
        <w:t xml:space="preserve">neuronale. </w:t>
      </w:r>
      <w:r w:rsidR="00720667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Cette fixation induit une</w:t>
      </w:r>
      <w:r w:rsidR="0072066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activation de la cascade </w:t>
      </w:r>
      <w:proofErr w:type="spellStart"/>
      <w:r w:rsidR="0072066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neuro</w:t>
      </w:r>
      <w:proofErr w:type="spellEnd"/>
      <w:r w:rsidR="0072066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-</w:t>
      </w:r>
      <w:r w:rsidR="00720667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inflammatoire</w:t>
      </w:r>
      <w:r w:rsidR="0072066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. E</w:t>
      </w:r>
      <w:r w:rsidR="00720667" w:rsidRPr="009843C7">
        <w:rPr>
          <w:rFonts w:ascii="Times New Roman" w:hAnsi="Times New Roman"/>
          <w:sz w:val="24"/>
          <w:szCs w:val="24"/>
        </w:rPr>
        <w:t xml:space="preserve">n effet, une augmentation de la sécrétion </w:t>
      </w:r>
      <w:r w:rsidR="00720667">
        <w:rPr>
          <w:rFonts w:ascii="Times New Roman" w:hAnsi="Times New Roman"/>
          <w:sz w:val="24"/>
          <w:szCs w:val="24"/>
        </w:rPr>
        <w:t>d’IL-17 du</w:t>
      </w:r>
      <w:r w:rsidR="00720667" w:rsidRPr="009843C7">
        <w:rPr>
          <w:rFonts w:ascii="Times New Roman" w:hAnsi="Times New Roman"/>
          <w:sz w:val="24"/>
          <w:szCs w:val="24"/>
        </w:rPr>
        <w:t xml:space="preserve"> </w:t>
      </w:r>
      <w:r w:rsidR="000B294D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NO et</w:t>
      </w:r>
      <w:r w:rsidR="00720667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</w:t>
      </w:r>
      <w:r w:rsidR="0072066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du</w:t>
      </w:r>
      <w:r w:rsidR="00720667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MDA </w:t>
      </w:r>
      <w:r w:rsidR="00720667">
        <w:rPr>
          <w:rFonts w:ascii="Times New Roman" w:hAnsi="Times New Roman"/>
          <w:sz w:val="24"/>
          <w:szCs w:val="24"/>
        </w:rPr>
        <w:t>a</w:t>
      </w:r>
      <w:r w:rsidR="00720667" w:rsidRPr="009843C7">
        <w:rPr>
          <w:rFonts w:ascii="Times New Roman" w:hAnsi="Times New Roman"/>
          <w:sz w:val="24"/>
          <w:szCs w:val="24"/>
        </w:rPr>
        <w:t xml:space="preserve"> été observée. Cette augmentation se traduit par d’importantes lésio</w:t>
      </w:r>
      <w:r w:rsidR="00720667">
        <w:rPr>
          <w:rFonts w:ascii="Times New Roman" w:hAnsi="Times New Roman"/>
          <w:sz w:val="24"/>
          <w:szCs w:val="24"/>
        </w:rPr>
        <w:t>ns cérébrales</w:t>
      </w:r>
      <w:r w:rsidR="00720667" w:rsidRPr="009843C7">
        <w:rPr>
          <w:rFonts w:ascii="Times New Roman" w:hAnsi="Times New Roman"/>
          <w:sz w:val="24"/>
          <w:szCs w:val="24"/>
        </w:rPr>
        <w:t>.</w:t>
      </w:r>
      <w:r w:rsidR="00720667">
        <w:rPr>
          <w:rFonts w:ascii="Times New Roman" w:hAnsi="Times New Roman"/>
          <w:sz w:val="24"/>
          <w:szCs w:val="24"/>
        </w:rPr>
        <w:t xml:space="preserve"> </w:t>
      </w:r>
    </w:p>
    <w:p w:rsidR="00C95E61" w:rsidRDefault="00FE4D15" w:rsidP="007E49DC">
      <w:pPr>
        <w:autoSpaceDE w:val="0"/>
        <w:autoSpaceDN w:val="0"/>
        <w:adjustRightInd w:val="0"/>
        <w:spacing w:after="120"/>
        <w:jc w:val="both"/>
        <w:rPr>
          <w:rFonts w:ascii="Times New Roman" w:hAnsi="Times New Roman"/>
          <w:color w:val="2E2E2E"/>
          <w:sz w:val="24"/>
          <w:szCs w:val="24"/>
          <w:shd w:val="clear" w:color="auto" w:fill="FFFFFF"/>
        </w:rPr>
      </w:pPr>
      <w:r w:rsidRPr="009843C7">
        <w:rPr>
          <w:rFonts w:ascii="Times New Roman" w:hAnsi="Times New Roman"/>
          <w:sz w:val="24"/>
          <w:szCs w:val="24"/>
        </w:rPr>
        <w:t>Ces perturbations sont également accompagnées par un infiltrat de c</w:t>
      </w:r>
      <w:r>
        <w:rPr>
          <w:rFonts w:ascii="Times New Roman" w:hAnsi="Times New Roman"/>
          <w:sz w:val="24"/>
          <w:szCs w:val="24"/>
        </w:rPr>
        <w:t>ellules inflammatoires associé</w:t>
      </w:r>
      <w:r w:rsidRPr="009843C7">
        <w:rPr>
          <w:rFonts w:ascii="Times New Roman" w:hAnsi="Times New Roman"/>
          <w:sz w:val="24"/>
          <w:szCs w:val="24"/>
        </w:rPr>
        <w:t xml:space="preserve"> à une augmentation de </w:t>
      </w: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la perméabilité de</w:t>
      </w:r>
      <w:r w:rsidR="000A7671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la bar</w:t>
      </w:r>
      <w:r w:rsidR="000B294D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rière </w:t>
      </w:r>
      <w:r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hémato</w:t>
      </w: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-</w:t>
      </w:r>
      <w:r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encéphalique (BHE)</w:t>
      </w: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. </w:t>
      </w:r>
    </w:p>
    <w:p w:rsidR="00720667" w:rsidRDefault="00FE4D15" w:rsidP="007E49DC">
      <w:pPr>
        <w:autoSpaceDE w:val="0"/>
        <w:autoSpaceDN w:val="0"/>
        <w:adjustRightInd w:val="0"/>
        <w:spacing w:after="12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Le prétraitement utilisant l’ATX </w:t>
      </w:r>
      <w:r w:rsidR="00720667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exerce </w:t>
      </w:r>
      <w:r w:rsidR="00720667">
        <w:rPr>
          <w:rFonts w:asciiTheme="majorBidi" w:hAnsiTheme="majorBidi" w:cstheme="majorBidi"/>
          <w:color w:val="000000"/>
          <w:sz w:val="24"/>
          <w:szCs w:val="24"/>
        </w:rPr>
        <w:t xml:space="preserve">un effet </w:t>
      </w:r>
      <w:proofErr w:type="spellStart"/>
      <w:r w:rsidR="00720667">
        <w:rPr>
          <w:rFonts w:asciiTheme="majorBidi" w:hAnsiTheme="majorBidi" w:cstheme="majorBidi"/>
          <w:color w:val="000000"/>
          <w:sz w:val="24"/>
          <w:szCs w:val="24"/>
        </w:rPr>
        <w:t>neuroprotecteur</w:t>
      </w:r>
      <w:proofErr w:type="spellEnd"/>
      <w:r w:rsidR="00720667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 grâce à la diminution de la libération des cytoki</w:t>
      </w:r>
      <w:r w:rsidR="00720667">
        <w:rPr>
          <w:rFonts w:asciiTheme="majorBidi" w:hAnsiTheme="majorBidi" w:cstheme="majorBidi"/>
          <w:color w:val="000000"/>
          <w:sz w:val="24"/>
          <w:szCs w:val="24"/>
        </w:rPr>
        <w:t>nes pro-inflammatoires (l'IL-6 et TNF-α),</w:t>
      </w:r>
      <w:r w:rsidR="00720667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 probablement à travers une régulation négative de l'activité du facteur de transcription nucléaire N</w:t>
      </w:r>
      <w:r w:rsidR="007E49DC">
        <w:rPr>
          <w:rFonts w:asciiTheme="majorBidi" w:hAnsiTheme="majorBidi" w:cstheme="majorBidi"/>
          <w:color w:val="000000"/>
          <w:sz w:val="24"/>
          <w:szCs w:val="24"/>
        </w:rPr>
        <w:t>F-</w:t>
      </w:r>
      <w:proofErr w:type="spellStart"/>
      <w:r w:rsidR="007E49DC">
        <w:rPr>
          <w:rFonts w:asciiTheme="majorBidi" w:hAnsiTheme="majorBidi" w:cstheme="majorBidi"/>
          <w:color w:val="000000"/>
          <w:sz w:val="24"/>
          <w:szCs w:val="24"/>
        </w:rPr>
        <w:t>κ</w:t>
      </w:r>
      <w:r w:rsidR="00720667" w:rsidRPr="004B0CA6">
        <w:rPr>
          <w:rFonts w:asciiTheme="majorBidi" w:hAnsiTheme="majorBidi" w:cstheme="majorBidi"/>
          <w:color w:val="000000"/>
          <w:sz w:val="24"/>
          <w:szCs w:val="24"/>
        </w:rPr>
        <w:t>B</w:t>
      </w:r>
      <w:proofErr w:type="spellEnd"/>
      <w:r w:rsidR="00720667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. </w:t>
      </w:r>
    </w:p>
    <w:p w:rsidR="00FE4D15" w:rsidRDefault="00720667" w:rsidP="007E49DC">
      <w:pPr>
        <w:autoSpaceDE w:val="0"/>
        <w:autoSpaceDN w:val="0"/>
        <w:adjustRightInd w:val="0"/>
        <w:spacing w:after="120"/>
        <w:jc w:val="both"/>
        <w:rPr>
          <w:rFonts w:ascii="Times New Roman" w:hAnsi="Times New Roman"/>
          <w:color w:val="2E2E2E"/>
          <w:sz w:val="24"/>
          <w:szCs w:val="24"/>
          <w:shd w:val="clear" w:color="auto" w:fill="FFFFFF"/>
        </w:rPr>
      </w:pPr>
      <w:r w:rsidRPr="004B0CA6">
        <w:rPr>
          <w:rFonts w:asciiTheme="majorBidi" w:hAnsiTheme="majorBidi" w:cstheme="majorBidi"/>
          <w:sz w:val="24"/>
          <w:szCs w:val="24"/>
        </w:rPr>
        <w:t>Nos résultats indiquent égale</w:t>
      </w:r>
      <w:r w:rsidR="00551CB7">
        <w:rPr>
          <w:rFonts w:asciiTheme="majorBidi" w:hAnsiTheme="majorBidi" w:cstheme="majorBidi"/>
          <w:sz w:val="24"/>
          <w:szCs w:val="24"/>
        </w:rPr>
        <w:t>ment que l’administration du</w:t>
      </w:r>
      <w:r w:rsidRPr="004B0CA6">
        <w:rPr>
          <w:rFonts w:asciiTheme="majorBidi" w:hAnsiTheme="majorBidi" w:cstheme="majorBidi"/>
          <w:sz w:val="24"/>
          <w:szCs w:val="24"/>
        </w:rPr>
        <w:t xml:space="preserve"> CoQ</w:t>
      </w:r>
      <w:r w:rsidRPr="00F535F7">
        <w:rPr>
          <w:rFonts w:asciiTheme="majorBidi" w:hAnsiTheme="majorBidi" w:cstheme="majorBidi"/>
          <w:sz w:val="24"/>
          <w:szCs w:val="24"/>
          <w:vertAlign w:val="subscript"/>
        </w:rPr>
        <w:t>10</w:t>
      </w:r>
      <w:r w:rsidRPr="004B0CA6">
        <w:rPr>
          <w:rFonts w:asciiTheme="majorBidi" w:hAnsiTheme="majorBidi" w:cstheme="majorBidi"/>
          <w:sz w:val="24"/>
          <w:szCs w:val="24"/>
        </w:rPr>
        <w:t xml:space="preserve"> avant injection de la </w:t>
      </w:r>
      <w:proofErr w:type="spellStart"/>
      <w:r w:rsidRPr="004B0CA6">
        <w:rPr>
          <w:rFonts w:asciiTheme="majorBidi" w:hAnsiTheme="majorBidi" w:cstheme="majorBidi"/>
          <w:sz w:val="24"/>
          <w:szCs w:val="24"/>
        </w:rPr>
        <w:t>KTx</w:t>
      </w:r>
      <w:proofErr w:type="spellEnd"/>
      <w:r w:rsidRPr="004B0CA6">
        <w:rPr>
          <w:rFonts w:asciiTheme="majorBidi" w:hAnsiTheme="majorBidi" w:cstheme="majorBidi"/>
          <w:sz w:val="24"/>
          <w:szCs w:val="24"/>
        </w:rPr>
        <w:t xml:space="preserve"> </w:t>
      </w:r>
      <w:r w:rsidR="00551CB7">
        <w:rPr>
          <w:rFonts w:asciiTheme="majorBidi" w:hAnsiTheme="majorBidi" w:cstheme="majorBidi"/>
          <w:sz w:val="24"/>
          <w:szCs w:val="24"/>
        </w:rPr>
        <w:t>rétablit</w:t>
      </w:r>
      <w:r w:rsidRPr="004B0CA6">
        <w:rPr>
          <w:rFonts w:asciiTheme="majorBidi" w:hAnsiTheme="majorBidi" w:cstheme="majorBidi"/>
          <w:sz w:val="24"/>
          <w:szCs w:val="24"/>
        </w:rPr>
        <w:t xml:space="preserve"> la balance oxydative en améliorant la fonction mitochondriale.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551CB7">
        <w:rPr>
          <w:rFonts w:asciiTheme="majorBidi" w:hAnsiTheme="majorBidi" w:cstheme="majorBidi"/>
          <w:sz w:val="24"/>
          <w:szCs w:val="24"/>
        </w:rPr>
        <w:t>L</w:t>
      </w:r>
      <w:r w:rsidRPr="004B0CA6">
        <w:rPr>
          <w:rFonts w:asciiTheme="majorBidi" w:hAnsiTheme="majorBidi" w:cstheme="majorBidi"/>
          <w:sz w:val="24"/>
          <w:szCs w:val="24"/>
        </w:rPr>
        <w:t>’AT</w:t>
      </w:r>
      <w:r w:rsidR="00551CB7">
        <w:rPr>
          <w:rFonts w:asciiTheme="majorBidi" w:hAnsiTheme="majorBidi" w:cstheme="majorBidi"/>
          <w:sz w:val="24"/>
          <w:szCs w:val="24"/>
        </w:rPr>
        <w:t>X et le</w:t>
      </w:r>
      <w:r>
        <w:rPr>
          <w:rFonts w:asciiTheme="majorBidi" w:hAnsiTheme="majorBidi" w:cstheme="majorBidi"/>
          <w:sz w:val="24"/>
          <w:szCs w:val="24"/>
        </w:rPr>
        <w:t xml:space="preserve"> CoQ</w:t>
      </w:r>
      <w:r w:rsidRPr="00470D1D">
        <w:rPr>
          <w:rFonts w:asciiTheme="majorBidi" w:hAnsiTheme="majorBidi" w:cstheme="majorBidi"/>
          <w:sz w:val="24"/>
          <w:szCs w:val="24"/>
          <w:vertAlign w:val="subscript"/>
        </w:rPr>
        <w:t>10</w:t>
      </w:r>
      <w:r>
        <w:rPr>
          <w:rFonts w:asciiTheme="majorBidi" w:hAnsiTheme="majorBidi" w:cstheme="majorBidi"/>
          <w:sz w:val="24"/>
          <w:szCs w:val="24"/>
        </w:rPr>
        <w:t xml:space="preserve"> ont un effet sur </w:t>
      </w:r>
      <w:r w:rsidRPr="004B0CA6">
        <w:rPr>
          <w:rFonts w:asciiTheme="majorBidi" w:hAnsiTheme="majorBidi" w:cstheme="majorBidi"/>
          <w:sz w:val="24"/>
          <w:szCs w:val="24"/>
        </w:rPr>
        <w:t xml:space="preserve">l’expression de molécules impliquées dans la </w:t>
      </w:r>
      <w:proofErr w:type="spellStart"/>
      <w:r w:rsidRPr="004B0CA6">
        <w:rPr>
          <w:rFonts w:asciiTheme="majorBidi" w:hAnsiTheme="majorBidi" w:cstheme="majorBidi"/>
          <w:sz w:val="24"/>
          <w:szCs w:val="24"/>
        </w:rPr>
        <w:t>neuro</w:t>
      </w:r>
      <w:proofErr w:type="spellEnd"/>
      <w:r>
        <w:rPr>
          <w:rFonts w:asciiTheme="majorBidi" w:hAnsiTheme="majorBidi" w:cstheme="majorBidi"/>
          <w:sz w:val="24"/>
          <w:szCs w:val="24"/>
        </w:rPr>
        <w:t>-</w:t>
      </w:r>
      <w:r w:rsidRPr="004B0CA6">
        <w:rPr>
          <w:rFonts w:asciiTheme="majorBidi" w:hAnsiTheme="majorBidi" w:cstheme="majorBidi"/>
          <w:sz w:val="24"/>
          <w:szCs w:val="24"/>
        </w:rPr>
        <w:t xml:space="preserve">inflammation qui se manifeste par une diminution de la COX-2 et une augmentation de la </w:t>
      </w:r>
      <w:proofErr w:type="spellStart"/>
      <w:r w:rsidRPr="004B0CA6">
        <w:rPr>
          <w:rFonts w:asciiTheme="majorBidi" w:hAnsiTheme="majorBidi" w:cstheme="majorBidi"/>
          <w:sz w:val="24"/>
          <w:szCs w:val="24"/>
        </w:rPr>
        <w:t>Bcl</w:t>
      </w:r>
      <w:proofErr w:type="spellEnd"/>
      <w:r w:rsidRPr="004B0CA6">
        <w:rPr>
          <w:rFonts w:asciiTheme="majorBidi" w:hAnsiTheme="majorBidi" w:cstheme="majorBidi"/>
          <w:sz w:val="24"/>
          <w:szCs w:val="24"/>
        </w:rPr>
        <w:t>-2 au niveau cérébral.</w:t>
      </w:r>
      <w:r w:rsidR="00551CB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L’ATX </w:t>
      </w:r>
      <w:r w:rsidR="009108BC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ou le CoQ</w:t>
      </w:r>
      <w:r w:rsidR="009108BC" w:rsidRPr="00470D1D">
        <w:rPr>
          <w:rFonts w:ascii="Times New Roman" w:hAnsi="Times New Roman"/>
          <w:color w:val="2E2E2E"/>
          <w:sz w:val="24"/>
          <w:szCs w:val="24"/>
          <w:shd w:val="clear" w:color="auto" w:fill="FFFFFF"/>
          <w:vertAlign w:val="subscript"/>
        </w:rPr>
        <w:t>10</w:t>
      </w:r>
      <w:r w:rsidR="009108BC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avant l’injection de la</w:t>
      </w:r>
      <w:r w:rsidR="00BC1CBC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</w:t>
      </w:r>
      <w:proofErr w:type="spellStart"/>
      <w:r w:rsidR="00BC1CBC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KTx</w:t>
      </w:r>
      <w:proofErr w:type="spellEnd"/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exerce</w:t>
      </w:r>
      <w:r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nt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un effet préventif non seulement sur la </w:t>
      </w:r>
      <w:proofErr w:type="spellStart"/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neuro</w:t>
      </w:r>
      <w:proofErr w:type="spellEnd"/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-inflammation, mais aussi sur les 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lésions tissulaires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 et la perturbation </w:t>
      </w:r>
      <w:r w:rsidR="00FE4D15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>de la BHE</w:t>
      </w:r>
      <w:r w:rsidR="00FE4D15" w:rsidRPr="009843C7">
        <w:rPr>
          <w:rFonts w:ascii="Times New Roman" w:hAnsi="Times New Roman"/>
          <w:color w:val="2E2E2E"/>
          <w:sz w:val="24"/>
          <w:szCs w:val="24"/>
          <w:shd w:val="clear" w:color="auto" w:fill="FFFFFF"/>
        </w:rPr>
        <w:t xml:space="preserve">. </w:t>
      </w:r>
    </w:p>
    <w:p w:rsidR="007E49DC" w:rsidRPr="004B0CA6" w:rsidRDefault="00FE4D15" w:rsidP="004B58EC">
      <w:pPr>
        <w:autoSpaceDE w:val="0"/>
        <w:autoSpaceDN w:val="0"/>
        <w:adjustRightInd w:val="0"/>
        <w:spacing w:after="12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E13136">
        <w:rPr>
          <w:rFonts w:ascii="Times New Roman" w:hAnsi="Times New Roman"/>
          <w:bCs/>
          <w:color w:val="000000"/>
          <w:sz w:val="24"/>
          <w:szCs w:val="24"/>
        </w:rPr>
        <w:t xml:space="preserve">Ce modèle pourrait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servir comme outil afin d’explorer </w:t>
      </w:r>
      <w:r w:rsidRPr="00E13136">
        <w:rPr>
          <w:rFonts w:ascii="Times New Roman" w:hAnsi="Times New Roman"/>
          <w:bCs/>
          <w:color w:val="000000"/>
          <w:sz w:val="24"/>
          <w:szCs w:val="24"/>
        </w:rPr>
        <w:t xml:space="preserve">les mécanismes </w:t>
      </w:r>
      <w:r w:rsidR="007E49DC">
        <w:rPr>
          <w:rFonts w:ascii="Times New Roman" w:hAnsi="Times New Roman"/>
          <w:bCs/>
          <w:color w:val="000000"/>
          <w:sz w:val="24"/>
          <w:szCs w:val="24"/>
        </w:rPr>
        <w:t xml:space="preserve">impliqués dans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7E49DC">
        <w:rPr>
          <w:rFonts w:ascii="Times New Roman" w:hAnsi="Times New Roman"/>
          <w:bCs/>
          <w:color w:val="000000"/>
          <w:sz w:val="24"/>
          <w:szCs w:val="24"/>
        </w:rPr>
        <w:t>l’</w:t>
      </w:r>
      <w:proofErr w:type="spellStart"/>
      <w:r w:rsidR="007E49DC">
        <w:rPr>
          <w:rFonts w:ascii="Times New Roman" w:hAnsi="Times New Roman"/>
          <w:bCs/>
          <w:color w:val="000000"/>
          <w:sz w:val="24"/>
          <w:szCs w:val="24"/>
        </w:rPr>
        <w:t>épileptogenèse</w:t>
      </w:r>
      <w:proofErr w:type="spellEnd"/>
      <w:r w:rsidR="007E49DC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  <w:r w:rsidR="007E49DC" w:rsidRPr="004B0CA6">
        <w:rPr>
          <w:rFonts w:asciiTheme="majorBidi" w:hAnsiTheme="majorBidi" w:cstheme="majorBidi"/>
          <w:color w:val="000000"/>
          <w:sz w:val="24"/>
          <w:szCs w:val="24"/>
        </w:rPr>
        <w:t>Ce modèle</w:t>
      </w:r>
      <w:r w:rsidR="007E49DC">
        <w:rPr>
          <w:rFonts w:asciiTheme="majorBidi" w:hAnsiTheme="majorBidi" w:cstheme="majorBidi"/>
          <w:color w:val="000000"/>
          <w:sz w:val="24"/>
          <w:szCs w:val="24"/>
        </w:rPr>
        <w:t xml:space="preserve"> peut également être utilisé pou</w:t>
      </w:r>
      <w:r w:rsidR="007E49DC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r améliorer le traitement et </w:t>
      </w:r>
      <w:r w:rsidR="007E49DC">
        <w:rPr>
          <w:rFonts w:asciiTheme="majorBidi" w:hAnsiTheme="majorBidi" w:cstheme="majorBidi"/>
          <w:color w:val="000000"/>
          <w:sz w:val="24"/>
          <w:szCs w:val="24"/>
        </w:rPr>
        <w:t>développer</w:t>
      </w:r>
      <w:r w:rsidR="007E49DC" w:rsidRPr="004B0CA6">
        <w:rPr>
          <w:rFonts w:asciiTheme="majorBidi" w:hAnsiTheme="majorBidi" w:cstheme="majorBidi"/>
          <w:color w:val="000000"/>
          <w:sz w:val="24"/>
          <w:szCs w:val="24"/>
        </w:rPr>
        <w:t xml:space="preserve"> de nouvelles stratégies thérapeutiques.</w:t>
      </w:r>
    </w:p>
    <w:sectPr w:rsidR="007E49DC" w:rsidRPr="004B0CA6" w:rsidSect="001B027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F72" w:rsidRDefault="00A22F72" w:rsidP="00943700">
      <w:pPr>
        <w:spacing w:after="0" w:line="240" w:lineRule="auto"/>
      </w:pPr>
      <w:r>
        <w:separator/>
      </w:r>
    </w:p>
  </w:endnote>
  <w:endnote w:type="continuationSeparator" w:id="0">
    <w:p w:rsidR="00A22F72" w:rsidRDefault="00A22F72" w:rsidP="00943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700" w:rsidRDefault="005950E9">
    <w:pPr>
      <w:pStyle w:val="Pieddepage"/>
    </w:pPr>
    <w:r w:rsidRPr="005950E9"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194" type="#_x0000_t32" style="position:absolute;margin-left:2.25pt;margin-top:-22pt;width:455.4pt;height:0;z-index:251659264" o:connectortype="straight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F72" w:rsidRDefault="00A22F72" w:rsidP="00943700">
      <w:pPr>
        <w:spacing w:after="0" w:line="240" w:lineRule="auto"/>
      </w:pPr>
      <w:r>
        <w:separator/>
      </w:r>
    </w:p>
  </w:footnote>
  <w:footnote w:type="continuationSeparator" w:id="0">
    <w:p w:rsidR="00A22F72" w:rsidRDefault="00A22F72" w:rsidP="00943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700" w:rsidRPr="00943700" w:rsidRDefault="005950E9">
    <w:pPr>
      <w:pStyle w:val="En-tte"/>
      <w:rPr>
        <w:i/>
        <w:iCs/>
        <w:u w:val="single"/>
      </w:rPr>
    </w:pPr>
    <w:r w:rsidRPr="005950E9">
      <w:rPr>
        <w:i/>
        <w:iCs/>
        <w:noProof/>
        <w:u w:val="single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8193" type="#_x0000_t32" style="position:absolute;margin-left:-.5pt;margin-top:11.75pt;width:455.4pt;height:0;z-index:251658240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8"/>
      <o:rules v:ext="edit">
        <o:r id="V:Rule3" type="connector" idref="#_x0000_s8194"/>
        <o:r id="V:Rule4" type="connector" idref="#_x0000_s8193"/>
      </o:rules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E4D15"/>
    <w:rsid w:val="000A3F16"/>
    <w:rsid w:val="000A7671"/>
    <w:rsid w:val="000B294D"/>
    <w:rsid w:val="000B2AB9"/>
    <w:rsid w:val="001B027D"/>
    <w:rsid w:val="001B592B"/>
    <w:rsid w:val="00271973"/>
    <w:rsid w:val="00296E4A"/>
    <w:rsid w:val="003929EE"/>
    <w:rsid w:val="00470D1D"/>
    <w:rsid w:val="004B55CA"/>
    <w:rsid w:val="004B58EC"/>
    <w:rsid w:val="00551CB7"/>
    <w:rsid w:val="00555407"/>
    <w:rsid w:val="005950E9"/>
    <w:rsid w:val="00600EC0"/>
    <w:rsid w:val="0065500F"/>
    <w:rsid w:val="006925D2"/>
    <w:rsid w:val="006C2651"/>
    <w:rsid w:val="006C3438"/>
    <w:rsid w:val="00720667"/>
    <w:rsid w:val="007E49DC"/>
    <w:rsid w:val="00864974"/>
    <w:rsid w:val="00875587"/>
    <w:rsid w:val="008778AE"/>
    <w:rsid w:val="009108BC"/>
    <w:rsid w:val="00943700"/>
    <w:rsid w:val="00A22F72"/>
    <w:rsid w:val="00A67B43"/>
    <w:rsid w:val="00AE1F53"/>
    <w:rsid w:val="00B51039"/>
    <w:rsid w:val="00BC1CBC"/>
    <w:rsid w:val="00C26A4E"/>
    <w:rsid w:val="00C95E61"/>
    <w:rsid w:val="00CC6A6E"/>
    <w:rsid w:val="00CF43DE"/>
    <w:rsid w:val="00DA7F5F"/>
    <w:rsid w:val="00F022BB"/>
    <w:rsid w:val="00F535F7"/>
    <w:rsid w:val="00FD4A7D"/>
    <w:rsid w:val="00FE4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27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FE4D15"/>
  </w:style>
  <w:style w:type="character" w:styleId="Accentuation">
    <w:name w:val="Emphasis"/>
    <w:basedOn w:val="Policepardfaut"/>
    <w:uiPriority w:val="20"/>
    <w:qFormat/>
    <w:rsid w:val="00FE4D15"/>
    <w:rPr>
      <w:i/>
      <w:iCs/>
    </w:rPr>
  </w:style>
  <w:style w:type="paragraph" w:customStyle="1" w:styleId="CorpsA">
    <w:name w:val="Corps A"/>
    <w:rsid w:val="00FE4D1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paragraph" w:customStyle="1" w:styleId="Corps">
    <w:name w:val="Corps"/>
    <w:rsid w:val="00FE4D1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paragraph" w:styleId="En-tte">
    <w:name w:val="header"/>
    <w:basedOn w:val="Normal"/>
    <w:link w:val="En-tteCar"/>
    <w:uiPriority w:val="99"/>
    <w:semiHidden/>
    <w:unhideWhenUsed/>
    <w:rsid w:val="00943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43700"/>
  </w:style>
  <w:style w:type="paragraph" w:styleId="Pieddepage">
    <w:name w:val="footer"/>
    <w:basedOn w:val="Normal"/>
    <w:link w:val="PieddepageCar"/>
    <w:uiPriority w:val="99"/>
    <w:semiHidden/>
    <w:unhideWhenUsed/>
    <w:rsid w:val="00943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9437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pc line</Company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Admin</cp:lastModifiedBy>
  <cp:revision>2</cp:revision>
  <dcterms:created xsi:type="dcterms:W3CDTF">2017-02-21T13:13:00Z</dcterms:created>
  <dcterms:modified xsi:type="dcterms:W3CDTF">2017-02-21T13:13:00Z</dcterms:modified>
</cp:coreProperties>
</file>