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132B" w:rsidRPr="002C0150" w:rsidRDefault="005F1FFB" w:rsidP="00E408B8">
      <w:pPr>
        <w:spacing w:after="100" w:afterAutospacing="1"/>
        <w:jc w:val="center"/>
        <w:rPr>
          <w:rFonts w:ascii="Corbel" w:hAnsi="Corbel"/>
          <w:b/>
          <w:sz w:val="24"/>
          <w:szCs w:val="28"/>
        </w:rPr>
      </w:pPr>
      <w:r w:rsidRPr="005F1FFB">
        <w:rPr>
          <w:rFonts w:ascii="Corbel" w:hAnsi="Corbel"/>
          <w:b/>
          <w:noProof/>
          <w:sz w:val="28"/>
          <w:szCs w:val="28"/>
        </w:rPr>
        <w:pict>
          <v:shapetype id="_x0000_t202" coordsize="21600,21600" o:spt="202" path="m,l,21600r21600,l21600,xe">
            <v:stroke joinstyle="miter"/>
            <v:path gradientshapeok="t" o:connecttype="rect"/>
          </v:shapetype>
          <v:shape id="_x0000_s1043" type="#_x0000_t202" style="position:absolute;left:0;text-align:left;margin-left:5.65pt;margin-top:-46.85pt;width:498.75pt;height:39.15pt;z-index:251659264" filled="f" stroked="f">
            <v:textbox>
              <w:txbxContent>
                <w:p w:rsidR="00202448" w:rsidRPr="002C0150" w:rsidRDefault="00202448" w:rsidP="00F66DF8">
                  <w:pPr>
                    <w:jc w:val="center"/>
                    <w:rPr>
                      <w:rFonts w:ascii="Corbel" w:hAnsi="Corbel"/>
                      <w:sz w:val="24"/>
                      <w:szCs w:val="28"/>
                    </w:rPr>
                  </w:pPr>
                  <w:r w:rsidRPr="002C0150">
                    <w:rPr>
                      <w:rFonts w:ascii="Corbel" w:hAnsi="Corbel"/>
                      <w:sz w:val="24"/>
                      <w:szCs w:val="28"/>
                    </w:rPr>
                    <w:t>Université des Sciences et de la Technologie Houari Boumediene USTHB</w:t>
                  </w:r>
                  <w:r w:rsidR="00F66DF8" w:rsidRPr="002C0150">
                    <w:rPr>
                      <w:rFonts w:ascii="Corbel" w:hAnsi="Corbel"/>
                      <w:sz w:val="24"/>
                      <w:szCs w:val="28"/>
                    </w:rPr>
                    <w:t xml:space="preserve">. </w:t>
                  </w:r>
                  <w:r w:rsidRPr="002C0150">
                    <w:rPr>
                      <w:rFonts w:ascii="Corbel" w:hAnsi="Corbel"/>
                      <w:sz w:val="24"/>
                      <w:szCs w:val="28"/>
                    </w:rPr>
                    <w:t>Département d’Energétique et Mécanique des fluides, Faculté de Physique</w:t>
                  </w:r>
                </w:p>
                <w:p w:rsidR="001910FE" w:rsidRPr="002C0150" w:rsidRDefault="001910FE" w:rsidP="00F66DF8">
                  <w:pPr>
                    <w:jc w:val="center"/>
                    <w:rPr>
                      <w:rFonts w:ascii="Corbel" w:hAnsi="Corbel"/>
                      <w:szCs w:val="28"/>
                    </w:rPr>
                  </w:pPr>
                </w:p>
                <w:p w:rsidR="00202448" w:rsidRPr="002C0150" w:rsidRDefault="00202448">
                  <w:pPr>
                    <w:rPr>
                      <w:rFonts w:ascii="Corbel" w:hAnsi="Corbel"/>
                      <w:sz w:val="24"/>
                    </w:rPr>
                  </w:pPr>
                </w:p>
              </w:txbxContent>
            </v:textbox>
          </v:shape>
        </w:pict>
      </w:r>
      <w:bookmarkStart w:id="0" w:name="OLE_LINK7"/>
      <w:bookmarkStart w:id="1" w:name="OLE_LINK8"/>
      <w:r w:rsidR="00885D5C" w:rsidRPr="002C0150">
        <w:rPr>
          <w:rFonts w:ascii="Corbel" w:hAnsi="Corbel"/>
          <w:b/>
          <w:sz w:val="28"/>
          <w:szCs w:val="28"/>
        </w:rPr>
        <w:t>ETUDE THEORIQUE DU PROBLEME DE GRA</w:t>
      </w:r>
      <w:r w:rsidR="00BB039F" w:rsidRPr="002C0150">
        <w:rPr>
          <w:rFonts w:ascii="Corbel" w:hAnsi="Corbel"/>
          <w:b/>
          <w:sz w:val="28"/>
          <w:szCs w:val="28"/>
        </w:rPr>
        <w:t>Ë</w:t>
      </w:r>
      <w:r w:rsidR="00517BB2" w:rsidRPr="002C0150">
        <w:rPr>
          <w:rFonts w:ascii="Corbel" w:hAnsi="Corbel"/>
          <w:b/>
          <w:sz w:val="28"/>
          <w:szCs w:val="28"/>
        </w:rPr>
        <w:t xml:space="preserve">TZ EN MHD, INFLUENCE DE </w:t>
      </w:r>
      <w:r w:rsidR="00885D5C" w:rsidRPr="002C0150">
        <w:rPr>
          <w:rFonts w:ascii="Corbel" w:hAnsi="Corbel"/>
          <w:b/>
          <w:sz w:val="28"/>
          <w:szCs w:val="28"/>
        </w:rPr>
        <w:t>L</w:t>
      </w:r>
      <w:r w:rsidR="00C40AD2" w:rsidRPr="002C0150">
        <w:rPr>
          <w:rFonts w:ascii="Corbel" w:hAnsi="Corbel"/>
          <w:b/>
          <w:sz w:val="28"/>
          <w:szCs w:val="28"/>
        </w:rPr>
        <w:t>’EFFETANGULAIRE</w:t>
      </w:r>
      <w:r w:rsidR="00885D5C" w:rsidRPr="002C0150">
        <w:rPr>
          <w:rFonts w:ascii="Corbel" w:hAnsi="Corbel"/>
          <w:b/>
          <w:sz w:val="28"/>
          <w:szCs w:val="28"/>
        </w:rPr>
        <w:t xml:space="preserve">SUR </w:t>
      </w:r>
      <w:r w:rsidR="00DB6CB4" w:rsidRPr="002C0150">
        <w:rPr>
          <w:rFonts w:ascii="Corbel" w:hAnsi="Corbel"/>
          <w:b/>
          <w:sz w:val="28"/>
          <w:szCs w:val="28"/>
        </w:rPr>
        <w:t>L’</w:t>
      </w:r>
      <w:r w:rsidR="00885D5C" w:rsidRPr="002C0150">
        <w:rPr>
          <w:rFonts w:ascii="Corbel" w:hAnsi="Corbel"/>
          <w:b/>
          <w:sz w:val="28"/>
          <w:szCs w:val="28"/>
        </w:rPr>
        <w:t>OPTIMISATION DES PHENOMENES DE</w:t>
      </w:r>
      <w:bookmarkEnd w:id="0"/>
      <w:bookmarkEnd w:id="1"/>
      <w:r w:rsidR="00885D5C" w:rsidRPr="002C0150">
        <w:rPr>
          <w:rFonts w:ascii="Corbel" w:hAnsi="Corbel"/>
          <w:b/>
          <w:sz w:val="28"/>
          <w:szCs w:val="28"/>
        </w:rPr>
        <w:t>TRANSFERT</w:t>
      </w:r>
    </w:p>
    <w:p w:rsidR="0049132B" w:rsidRPr="002C0150" w:rsidRDefault="0049132B" w:rsidP="006C4BCE">
      <w:pPr>
        <w:jc w:val="center"/>
        <w:rPr>
          <w:rFonts w:ascii="Corbel" w:hAnsi="Corbel"/>
          <w:b/>
          <w:szCs w:val="28"/>
        </w:rPr>
      </w:pPr>
      <w:r w:rsidRPr="002C0150">
        <w:rPr>
          <w:rFonts w:ascii="Corbel" w:hAnsi="Corbel"/>
          <w:sz w:val="24"/>
          <w:szCs w:val="28"/>
        </w:rPr>
        <w:t xml:space="preserve">Présentée par </w:t>
      </w:r>
      <w:r w:rsidRPr="002C0150">
        <w:rPr>
          <w:rFonts w:ascii="Corbel" w:hAnsi="Corbel"/>
          <w:b/>
          <w:sz w:val="24"/>
          <w:szCs w:val="28"/>
        </w:rPr>
        <w:t>LECHEHEB Sabrina</w:t>
      </w:r>
    </w:p>
    <w:p w:rsidR="006C4BCE" w:rsidRPr="002C0150" w:rsidRDefault="0049132B" w:rsidP="00C40AD2">
      <w:pPr>
        <w:jc w:val="center"/>
        <w:rPr>
          <w:rFonts w:ascii="Corbel" w:hAnsi="Corbel"/>
          <w:sz w:val="24"/>
          <w:szCs w:val="28"/>
        </w:rPr>
      </w:pPr>
      <w:r w:rsidRPr="002C0150">
        <w:rPr>
          <w:rFonts w:ascii="Corbel" w:hAnsi="Corbel"/>
          <w:sz w:val="24"/>
          <w:szCs w:val="28"/>
        </w:rPr>
        <w:t xml:space="preserve">Pour obtenir le </w:t>
      </w:r>
      <w:r w:rsidR="008918CD" w:rsidRPr="002C0150">
        <w:rPr>
          <w:rFonts w:ascii="Corbel" w:hAnsi="Corbel"/>
          <w:sz w:val="24"/>
          <w:szCs w:val="28"/>
        </w:rPr>
        <w:t>diplôme</w:t>
      </w:r>
      <w:r w:rsidRPr="002C0150">
        <w:rPr>
          <w:rFonts w:ascii="Corbel" w:hAnsi="Corbel"/>
          <w:sz w:val="24"/>
          <w:szCs w:val="28"/>
        </w:rPr>
        <w:t xml:space="preserve"> de Magistère en Physique, Option Energétique et Mécanique des fluides(*)</w:t>
      </w:r>
    </w:p>
    <w:p w:rsidR="001910FE" w:rsidRPr="002C0150" w:rsidRDefault="001910FE" w:rsidP="00C40AD2">
      <w:pPr>
        <w:jc w:val="center"/>
        <w:rPr>
          <w:rFonts w:ascii="Corbel" w:hAnsi="Corbel"/>
          <w:sz w:val="20"/>
          <w:szCs w:val="28"/>
        </w:rPr>
      </w:pPr>
    </w:p>
    <w:p w:rsidR="0071565E" w:rsidRPr="002C0150" w:rsidRDefault="005F1FFB" w:rsidP="00A57A26">
      <w:pPr>
        <w:spacing w:after="0" w:line="240" w:lineRule="auto"/>
        <w:jc w:val="center"/>
        <w:rPr>
          <w:rFonts w:ascii="Corbel" w:hAnsi="Corbel"/>
          <w:sz w:val="20"/>
          <w:szCs w:val="28"/>
        </w:rPr>
      </w:pPr>
      <w:r>
        <w:rPr>
          <w:rFonts w:ascii="Corbel" w:hAnsi="Corbel"/>
          <w:noProof/>
          <w:sz w:val="20"/>
          <w:szCs w:val="28"/>
        </w:rPr>
        <w:pict>
          <v:shape id="_x0000_s1058" type="#_x0000_t202" style="position:absolute;left:0;text-align:left;margin-left:227.45pt;margin-top:.35pt;width:1in;height:25.5pt;z-index:251672576" stroked="f">
            <v:textbox>
              <w:txbxContent>
                <w:p w:rsidR="00790E44" w:rsidRPr="002C0150" w:rsidRDefault="00790E44" w:rsidP="00790E44">
                  <w:pPr>
                    <w:jc w:val="center"/>
                    <w:rPr>
                      <w:rFonts w:ascii="Corbel" w:hAnsi="Corbel"/>
                      <w:b/>
                      <w:sz w:val="24"/>
                      <w:szCs w:val="20"/>
                    </w:rPr>
                  </w:pPr>
                  <w:r w:rsidRPr="002C0150">
                    <w:rPr>
                      <w:rFonts w:ascii="Corbel" w:hAnsi="Corbel"/>
                      <w:b/>
                      <w:sz w:val="24"/>
                      <w:szCs w:val="20"/>
                      <w:u w:val="single"/>
                    </w:rPr>
                    <w:t>Résumé</w:t>
                  </w:r>
                  <w:r w:rsidRPr="002C0150">
                    <w:rPr>
                      <w:rFonts w:ascii="Corbel" w:hAnsi="Corbel"/>
                      <w:b/>
                      <w:sz w:val="24"/>
                      <w:szCs w:val="20"/>
                    </w:rPr>
                    <w:t>:</w:t>
                  </w:r>
                </w:p>
              </w:txbxContent>
            </v:textbox>
          </v:shape>
        </w:pict>
      </w:r>
    </w:p>
    <w:p w:rsidR="00227E29" w:rsidRPr="002C0150" w:rsidRDefault="005F1FFB" w:rsidP="00227E29">
      <w:pPr>
        <w:spacing w:after="0" w:line="240" w:lineRule="auto"/>
        <w:jc w:val="center"/>
        <w:rPr>
          <w:rFonts w:ascii="Corbel" w:hAnsi="Corbel"/>
          <w:sz w:val="14"/>
          <w:szCs w:val="28"/>
        </w:rPr>
      </w:pPr>
      <w:r w:rsidRPr="005F1FFB">
        <w:rPr>
          <w:rFonts w:ascii="Corbel" w:hAnsi="Corbel"/>
          <w:b/>
          <w:noProof/>
          <w:sz w:val="20"/>
          <w:szCs w:val="28"/>
          <w:u w:val="single"/>
        </w:rPr>
        <w:pict>
          <v:rect id="_x0000_s1057" style="position:absolute;left:0;text-align:left;margin-left:-17.05pt;margin-top:.55pt;width:546.75pt;height:545.1pt;flip:y;z-index:251671552" filled="f" strokeweight="6pt">
            <v:stroke linestyle="thickBetweenThin"/>
          </v:rect>
        </w:pict>
      </w:r>
    </w:p>
    <w:p w:rsidR="008918CD" w:rsidRPr="002C0150" w:rsidRDefault="008918CD" w:rsidP="002C0150">
      <w:pPr>
        <w:autoSpaceDE w:val="0"/>
        <w:autoSpaceDN w:val="0"/>
        <w:adjustRightInd w:val="0"/>
        <w:spacing w:before="240" w:after="60" w:line="240" w:lineRule="auto"/>
        <w:jc w:val="both"/>
        <w:rPr>
          <w:rFonts w:ascii="Corbel" w:hAnsi="Corbel" w:cs="TimesNewRoman"/>
          <w:szCs w:val="20"/>
        </w:rPr>
      </w:pPr>
      <w:bookmarkStart w:id="2" w:name="OLE_LINK4"/>
      <w:bookmarkStart w:id="3" w:name="OLE_LINK3"/>
      <w:bookmarkStart w:id="4" w:name="OLE_LINK2"/>
      <w:bookmarkStart w:id="5" w:name="OLE_LINK1"/>
      <w:r w:rsidRPr="002C0150">
        <w:rPr>
          <w:rFonts w:ascii="Corbel" w:hAnsi="Corbel"/>
          <w:szCs w:val="20"/>
        </w:rPr>
        <w:t>Dans les techniques de transfert de chaleur, le procédé de Graëtz est un processus essentiel pour agir sur le contrôle et la maîtrise des opérations de production de l’énergie. On rencontre principalement ce type de procédé dans les secteurs de l’industrie (sidérurgie, matériaux plastiques et production d’énergie). Il est admis que le fait de disposer d’un procédé adapté et bien dimensionné permet d’atteindre des gains  de rendement très appréciables.</w:t>
      </w:r>
    </w:p>
    <w:p w:rsidR="008918CD" w:rsidRPr="002C0150" w:rsidRDefault="008918CD" w:rsidP="002C0150">
      <w:pPr>
        <w:spacing w:after="60" w:line="240" w:lineRule="auto"/>
        <w:jc w:val="both"/>
        <w:rPr>
          <w:rFonts w:ascii="Corbel" w:hAnsi="Corbel"/>
          <w:szCs w:val="20"/>
        </w:rPr>
      </w:pPr>
      <w:r w:rsidRPr="002C0150">
        <w:rPr>
          <w:rFonts w:ascii="Corbel" w:hAnsi="Corbel" w:cs="TimesNewRoman"/>
          <w:szCs w:val="20"/>
        </w:rPr>
        <w:t xml:space="preserve">Cette étude consiste à aborder les écoulements fluides de type Graëtz soumis à l’action combinée du champ de température et du champ magnétique et dont l’objectif principal consiste à optimiser les phénomènes de transfert de masse et de chaleur. De même,  </w:t>
      </w:r>
      <w:r w:rsidRPr="002C0150">
        <w:rPr>
          <w:rFonts w:ascii="Corbel" w:hAnsi="Corbel" w:cs="Times New Roman"/>
          <w:szCs w:val="20"/>
        </w:rPr>
        <w:t xml:space="preserve">dans le but de contrôler la coulée métallurgique au niveau du front de solidification par rapport à la configuration du matériau considéré il y a lieu de déterminer les bonnes </w:t>
      </w:r>
      <w:r w:rsidRPr="002C0150">
        <w:rPr>
          <w:rFonts w:ascii="Corbel" w:hAnsi="Corbel" w:cs="TimesNewRoman"/>
          <w:szCs w:val="20"/>
        </w:rPr>
        <w:t>conditions de fonctionnement du procédé de Graëtz dans les dispositifs à plans parallèles</w:t>
      </w:r>
      <w:r w:rsidRPr="002C0150">
        <w:rPr>
          <w:rFonts w:ascii="Corbel" w:hAnsi="Corbel"/>
          <w:szCs w:val="20"/>
        </w:rPr>
        <w:t>.</w:t>
      </w:r>
    </w:p>
    <w:bookmarkEnd w:id="2"/>
    <w:bookmarkEnd w:id="3"/>
    <w:p w:rsidR="008918CD" w:rsidRPr="002C0150" w:rsidRDefault="008918CD" w:rsidP="002C0150">
      <w:pPr>
        <w:spacing w:after="60" w:line="240" w:lineRule="auto"/>
        <w:jc w:val="both"/>
        <w:rPr>
          <w:rFonts w:ascii="Corbel" w:hAnsi="Corbel" w:cs="Times New Roman"/>
          <w:szCs w:val="20"/>
        </w:rPr>
      </w:pPr>
      <w:r w:rsidRPr="002C0150">
        <w:rPr>
          <w:rFonts w:ascii="Corbel" w:hAnsi="Corbel" w:cs="Times New Roman"/>
          <w:szCs w:val="20"/>
        </w:rPr>
        <w:t xml:space="preserve">Au plan analytique, le premier volet porte sur </w:t>
      </w:r>
      <w:bookmarkStart w:id="6" w:name="OLE_LINK5"/>
      <w:r w:rsidRPr="002C0150">
        <w:rPr>
          <w:rFonts w:ascii="Corbel" w:hAnsi="Corbel" w:cs="Times New Roman"/>
          <w:szCs w:val="20"/>
        </w:rPr>
        <w:t>la détermination des lois de distribution associées au champ thermique dans l’hypothèse  d’un fluide incompressible à propriétés physiques constantes</w:t>
      </w:r>
      <w:r w:rsidRPr="002C0150">
        <w:rPr>
          <w:rFonts w:ascii="Corbel" w:hAnsi="Corbel" w:cs="Times New Roman"/>
          <w:bCs/>
          <w:iCs/>
          <w:szCs w:val="20"/>
        </w:rPr>
        <w:t>.</w:t>
      </w:r>
      <w:r w:rsidRPr="002C0150">
        <w:rPr>
          <w:rFonts w:ascii="Corbel" w:hAnsi="Corbel" w:cs="Times New Roman"/>
          <w:szCs w:val="20"/>
        </w:rPr>
        <w:t xml:space="preserve"> La formulation du problème étant faite, le matériau considéré est caractérisé par la présence de deux régions thermiques différentes : une région d’entrée x &lt; 0 et une autre définie en x &gt; 0 évoluant selon un écoulement complètement développé. En fait, </w:t>
      </w:r>
      <w:r w:rsidRPr="002C0150">
        <w:rPr>
          <w:rFonts w:ascii="Corbel" w:hAnsi="Corbel"/>
          <w:szCs w:val="20"/>
        </w:rPr>
        <w:t xml:space="preserve">Il s’agit de résoudre l’équation régissant le champ de température </w:t>
      </w:r>
      <m:oMath>
        <m:r>
          <w:rPr>
            <w:rFonts w:ascii="Cambria Math" w:hAnsi="Cambria Math"/>
            <w:szCs w:val="20"/>
          </w:rPr>
          <m:t>θ</m:t>
        </m:r>
      </m:oMath>
      <w:r w:rsidRPr="002C0150">
        <w:rPr>
          <w:rFonts w:ascii="Corbel" w:hAnsi="Corbel" w:cs="Times New Roman"/>
          <w:szCs w:val="20"/>
        </w:rPr>
        <w:t xml:space="preserve">  couplée  à l’influence d’un champ magnétique uniforme</w:t>
      </w:r>
      <m:oMath>
        <m:sSub>
          <m:sSubPr>
            <m:ctrlPr>
              <w:rPr>
                <w:rFonts w:ascii="Cambria Math" w:hAnsi="Cambria Math" w:cs="Times New Roman"/>
                <w:i/>
                <w:szCs w:val="20"/>
              </w:rPr>
            </m:ctrlPr>
          </m:sSubPr>
          <m:e>
            <m:r>
              <w:rPr>
                <w:rFonts w:ascii="Cambria Math" w:hAnsi="Cambria Math" w:cs="Times New Roman"/>
                <w:szCs w:val="20"/>
              </w:rPr>
              <m:t>B</m:t>
            </m:r>
          </m:e>
          <m:sub>
            <m:r>
              <w:rPr>
                <w:rFonts w:ascii="Cambria Math" w:hAnsi="Cambria Math" w:cs="Times New Roman"/>
                <w:szCs w:val="20"/>
              </w:rPr>
              <m:t>0</m:t>
            </m:r>
          </m:sub>
        </m:sSub>
      </m:oMath>
      <w:r w:rsidRPr="002C0150">
        <w:rPr>
          <w:rFonts w:ascii="Corbel" w:hAnsi="Corbel" w:cs="Times New Roman"/>
          <w:szCs w:val="20"/>
        </w:rPr>
        <w:t xml:space="preserve">imposé transversalement par rapport aux plaques parallèles et la direction de l’écoulement. Le raccordement des solutions correspondantes se fait en position x = 0 où soit le chauffage ou soit le refroidissement commence. </w:t>
      </w:r>
      <w:r w:rsidR="001910FE" w:rsidRPr="002C0150">
        <w:rPr>
          <w:rFonts w:ascii="Corbel" w:hAnsi="Corbel" w:cs="Times New Roman"/>
          <w:szCs w:val="20"/>
        </w:rPr>
        <w:t>Dès</w:t>
      </w:r>
      <w:r w:rsidRPr="002C0150">
        <w:rPr>
          <w:rFonts w:ascii="Corbel" w:hAnsi="Corbel" w:cs="Times New Roman"/>
          <w:szCs w:val="20"/>
        </w:rPr>
        <w:t xml:space="preserve"> lors, on a pu établir une solution exacte valable sur l’ensemble du domaine d’étude -∞ &lt;x&lt;+∞ et vérifiant les huit conditions aux limites du problème. </w:t>
      </w:r>
    </w:p>
    <w:bookmarkEnd w:id="6"/>
    <w:p w:rsidR="008918CD" w:rsidRPr="002C0150" w:rsidRDefault="008918CD" w:rsidP="002C0150">
      <w:pPr>
        <w:spacing w:after="60" w:line="240" w:lineRule="auto"/>
        <w:jc w:val="both"/>
        <w:rPr>
          <w:rFonts w:ascii="Corbel" w:hAnsi="Corbel" w:cs="Times New Roman"/>
          <w:szCs w:val="20"/>
        </w:rPr>
      </w:pPr>
      <w:r w:rsidRPr="002C0150">
        <w:rPr>
          <w:rFonts w:ascii="Corbel" w:hAnsi="Corbel" w:cs="Times New Roman"/>
          <w:szCs w:val="20"/>
        </w:rPr>
        <w:t xml:space="preserve">Le deuxième volet, consiste à concevoir une configuration qui n’a jamais été prise en compte à notre connaissance, c’est le dispositif convergent à plaques. </w:t>
      </w:r>
      <w:r w:rsidRPr="002C0150">
        <w:rPr>
          <w:rFonts w:ascii="Corbel" w:hAnsi="Corbel" w:cs="Times New Roman"/>
          <w:bCs/>
          <w:szCs w:val="20"/>
        </w:rPr>
        <w:t>Conséquemment, on a considéré ce système afin de viser à l’accroissement du nombre de Nusselt mettant ainsi en évidence l’amélioration des échanges de chaleur par convection (l’augmentation des performances du réacteur par rapport au cas classique).</w:t>
      </w:r>
      <w:bookmarkStart w:id="7" w:name="OLE_LINK6"/>
      <w:r w:rsidRPr="002C0150">
        <w:rPr>
          <w:rFonts w:ascii="Corbel" w:hAnsi="Corbel" w:cs="Times New Roman"/>
          <w:szCs w:val="20"/>
        </w:rPr>
        <w:t xml:space="preserve">Dans ce contexte on résoud le problème étudié à l’aide d’une technique variationnelle, la méthode de Galerkin. </w:t>
      </w:r>
      <w:r w:rsidR="00116DB7" w:rsidRPr="002C0150">
        <w:rPr>
          <w:rFonts w:ascii="Corbel" w:hAnsi="Corbel" w:cs="Times New Roman"/>
          <w:szCs w:val="20"/>
        </w:rPr>
        <w:t>Dès</w:t>
      </w:r>
      <w:r w:rsidRPr="002C0150">
        <w:rPr>
          <w:rFonts w:ascii="Corbel" w:hAnsi="Corbel" w:cs="Times New Roman"/>
          <w:szCs w:val="20"/>
        </w:rPr>
        <w:t xml:space="preserve"> lors, on est conduit à établir un problème aux valeurs propres permettant de relier les paramètres sensibles de l’écoulement, à savoir, le nombre de Brinkman Br, le nombre de Hartmann Ha et le nombre de Peclet Pe, en fonction des caractéristiques du fluide</w:t>
      </w:r>
      <m:oMath>
        <m:r>
          <w:rPr>
            <w:rFonts w:ascii="Cambria Math" w:hAnsi="Cambria Math" w:cs="Times New Roman"/>
            <w:szCs w:val="20"/>
          </w:rPr>
          <m:t xml:space="preserve">  ρ, </m:t>
        </m:r>
        <m:sSub>
          <m:sSubPr>
            <m:ctrlPr>
              <w:rPr>
                <w:rFonts w:ascii="Cambria Math" w:hAnsi="Cambria Math" w:cs="Times New Roman"/>
                <w:i/>
                <w:szCs w:val="20"/>
              </w:rPr>
            </m:ctrlPr>
          </m:sSubPr>
          <m:e>
            <m:r>
              <w:rPr>
                <w:rFonts w:ascii="Cambria Math" w:hAnsi="Cambria Math" w:cs="Times New Roman"/>
                <w:szCs w:val="20"/>
              </w:rPr>
              <m:t>ν,σ,μ</m:t>
            </m:r>
          </m:e>
          <m:sub>
            <m:r>
              <w:rPr>
                <w:rFonts w:ascii="Cambria Math" w:hAnsi="Cambria Math" w:cs="Times New Roman"/>
                <w:szCs w:val="20"/>
              </w:rPr>
              <m:t>0</m:t>
            </m:r>
          </m:sub>
        </m:sSub>
      </m:oMath>
      <w:r w:rsidRPr="002C0150">
        <w:rPr>
          <w:rFonts w:ascii="Corbel" w:hAnsi="Corbel" w:cs="Times New Roman"/>
          <w:szCs w:val="20"/>
        </w:rPr>
        <w:t>, etc... selon la géométrie envisagée (facteur d’aspect</w:t>
      </w:r>
      <m:oMath>
        <m:r>
          <m:rPr>
            <m:sty m:val="p"/>
          </m:rPr>
          <w:rPr>
            <w:rFonts w:ascii="Cambria Math" w:hAnsi="Cambria Math" w:cs="Times New Roman"/>
            <w:szCs w:val="20"/>
          </w:rPr>
          <m:t>Γ</m:t>
        </m:r>
      </m:oMath>
      <w:r w:rsidRPr="002C0150">
        <w:rPr>
          <w:rFonts w:ascii="Corbel" w:hAnsi="Corbel" w:cs="Times New Roman"/>
          <w:szCs w:val="20"/>
        </w:rPr>
        <w:t xml:space="preserve">). Par ailleurs, notre étude s’appuie sur l’évaluation des nombres de Nusselt Nu local et global qui peuvent fournir des informations intéressantes sur les performances et l’efficacité de ce type d’échangeur de chaleur. </w:t>
      </w:r>
      <w:bookmarkEnd w:id="7"/>
    </w:p>
    <w:p w:rsidR="008918CD" w:rsidRPr="002C0150" w:rsidRDefault="008918CD" w:rsidP="001910FE">
      <w:pPr>
        <w:spacing w:after="0" w:line="240" w:lineRule="auto"/>
        <w:jc w:val="both"/>
        <w:rPr>
          <w:rFonts w:ascii="Corbel" w:hAnsi="Corbel" w:cstheme="majorBidi"/>
          <w:szCs w:val="20"/>
        </w:rPr>
      </w:pPr>
      <w:r w:rsidRPr="002C0150">
        <w:rPr>
          <w:rFonts w:ascii="Corbel" w:hAnsi="Corbel"/>
          <w:szCs w:val="20"/>
        </w:rPr>
        <w:t>Au plan numérique,</w:t>
      </w:r>
      <w:r w:rsidRPr="002C0150">
        <w:rPr>
          <w:rFonts w:ascii="Corbel" w:hAnsi="Corbel" w:cstheme="majorBidi"/>
          <w:szCs w:val="20"/>
        </w:rPr>
        <w:t xml:space="preserve"> on a modélisé le processus en vue d’établir les propriétés liées aux échanges de chaleur qui interviennent dans le système de Graëtz modifié en MHD. Ainsi, à l’aide d’un code de calcul basé sur la méthode des volumes finis (code Fluent) on cherche à prolonger notre étude en généralisant le problème aux effets angulaires lorsque les plans ne sont plus parallèles : conception d’un dispositif convergent dominé par l’angle d’inclinaison </w:t>
      </w:r>
      <w:r w:rsidR="002C0150">
        <w:rPr>
          <w:rFonts w:ascii="Symbol" w:hAnsi="Symbol" w:cstheme="majorBidi"/>
          <w:szCs w:val="20"/>
        </w:rPr>
        <w:sym w:font="Symbol" w:char="F061"/>
      </w:r>
      <w:r w:rsidR="002C0150">
        <w:rPr>
          <w:rFonts w:ascii="Symbol" w:hAnsi="Symbol" w:cstheme="majorBidi"/>
          <w:szCs w:val="20"/>
        </w:rPr>
        <w:t></w:t>
      </w:r>
      <w:r w:rsidRPr="002C0150">
        <w:rPr>
          <w:rFonts w:ascii="Corbel" w:hAnsi="Corbel" w:cstheme="majorBidi"/>
          <w:szCs w:val="20"/>
        </w:rPr>
        <w:t>qui est délimité entre les plans du dispositif et l’axe du système d’écoulement.</w:t>
      </w:r>
    </w:p>
    <w:p w:rsidR="008918CD" w:rsidRPr="002C0150" w:rsidRDefault="008918CD" w:rsidP="001910FE">
      <w:pPr>
        <w:spacing w:line="240" w:lineRule="auto"/>
        <w:jc w:val="both"/>
        <w:rPr>
          <w:rFonts w:ascii="Corbel" w:hAnsi="Corbel" w:cstheme="majorBidi"/>
          <w:szCs w:val="20"/>
        </w:rPr>
      </w:pPr>
      <w:r w:rsidRPr="002C0150">
        <w:rPr>
          <w:rFonts w:ascii="Corbel" w:hAnsi="Corbel" w:cstheme="majorBidi"/>
          <w:szCs w:val="20"/>
        </w:rPr>
        <w:t>L’intérêt de telle modification va influer directement sur la loi de distribution du champ des vitesses, de la température avec ou sans effet du champ magnétique. Dans ces conditions, on peut espérer l’augmentation du processus de transfert en mettant en relief l’accroissement du nombre de Nusselt.</w:t>
      </w:r>
      <w:bookmarkEnd w:id="4"/>
      <w:bookmarkEnd w:id="5"/>
    </w:p>
    <w:p w:rsidR="00EE1396" w:rsidRPr="002C0150" w:rsidRDefault="005F1FFB" w:rsidP="00C40AD2">
      <w:pPr>
        <w:autoSpaceDE w:val="0"/>
        <w:autoSpaceDN w:val="0"/>
        <w:adjustRightInd w:val="0"/>
        <w:spacing w:after="0" w:line="240" w:lineRule="auto"/>
        <w:ind w:firstLine="708"/>
        <w:jc w:val="both"/>
        <w:rPr>
          <w:rFonts w:ascii="Corbel" w:hAnsi="Corbel" w:cs="TimesNewRoman"/>
          <w:sz w:val="14"/>
          <w:szCs w:val="18"/>
        </w:rPr>
      </w:pPr>
      <w:r w:rsidRPr="005F1FFB">
        <w:rPr>
          <w:rFonts w:ascii="Corbel" w:hAnsi="Corbel"/>
          <w:noProof/>
          <w:sz w:val="20"/>
          <w:szCs w:val="28"/>
        </w:rPr>
        <w:pict>
          <v:shape id="_x0000_s1055" type="#_x0000_t202" style="position:absolute;left:0;text-align:left;margin-left:122.65pt;margin-top:34.95pt;width:283.3pt;height:23.05pt;z-index:251670528" filled="f" stroked="f">
            <v:textbox>
              <w:txbxContent>
                <w:p w:rsidR="009707B3" w:rsidRPr="002C0150" w:rsidRDefault="009707B3" w:rsidP="009707B3">
                  <w:pPr>
                    <w:rPr>
                      <w:rFonts w:ascii="Corbel" w:hAnsi="Corbel"/>
                      <w:b/>
                      <w:sz w:val="24"/>
                      <w:szCs w:val="28"/>
                      <w:u w:val="single"/>
                    </w:rPr>
                  </w:pPr>
                  <w:bookmarkStart w:id="8" w:name="_GoBack"/>
                  <w:r w:rsidRPr="002C0150">
                    <w:rPr>
                      <w:rFonts w:ascii="Corbel" w:hAnsi="Corbel"/>
                      <w:sz w:val="24"/>
                      <w:szCs w:val="28"/>
                      <w:u w:val="single"/>
                    </w:rPr>
                    <w:t xml:space="preserve">(*)Directeur de thèse : </w:t>
                  </w:r>
                  <w:r w:rsidRPr="002C0150">
                    <w:rPr>
                      <w:rFonts w:ascii="Corbel" w:hAnsi="Corbel"/>
                      <w:b/>
                      <w:sz w:val="24"/>
                      <w:szCs w:val="28"/>
                      <w:u w:val="single"/>
                    </w:rPr>
                    <w:t>Pr. Ahcène BOUABDALLAH</w:t>
                  </w:r>
                </w:p>
                <w:bookmarkEnd w:id="8"/>
                <w:p w:rsidR="009707B3" w:rsidRPr="002C0150" w:rsidRDefault="009707B3">
                  <w:pPr>
                    <w:rPr>
                      <w:rFonts w:ascii="Corbel" w:hAnsi="Corbel"/>
                      <w:sz w:val="28"/>
                    </w:rPr>
                  </w:pPr>
                </w:p>
              </w:txbxContent>
            </v:textbox>
          </v:shape>
        </w:pict>
      </w:r>
    </w:p>
    <w:sectPr w:rsidR="00EE1396" w:rsidRPr="002C0150" w:rsidSect="00790E44">
      <w:pgSz w:w="11906" w:h="16838"/>
      <w:pgMar w:top="1417" w:right="849" w:bottom="709" w:left="85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0638" w:rsidRDefault="001B0638" w:rsidP="0071565E">
      <w:pPr>
        <w:spacing w:after="0" w:line="240" w:lineRule="auto"/>
      </w:pPr>
      <w:r>
        <w:separator/>
      </w:r>
    </w:p>
  </w:endnote>
  <w:endnote w:type="continuationSeparator" w:id="1">
    <w:p w:rsidR="001B0638" w:rsidRDefault="001B0638" w:rsidP="0071565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orbel">
    <w:panose1 w:val="020B0503020204020204"/>
    <w:charset w:val="00"/>
    <w:family w:val="swiss"/>
    <w:pitch w:val="variable"/>
    <w:sig w:usb0="A00002EF" w:usb1="4000204B" w:usb2="00000000" w:usb3="00000000" w:csb0="0000009F" w:csb1="00000000"/>
  </w:font>
  <w:font w:name="TimesNew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0638" w:rsidRDefault="001B0638" w:rsidP="0071565E">
      <w:pPr>
        <w:spacing w:after="0" w:line="240" w:lineRule="auto"/>
      </w:pPr>
      <w:r>
        <w:separator/>
      </w:r>
    </w:p>
  </w:footnote>
  <w:footnote w:type="continuationSeparator" w:id="1">
    <w:p w:rsidR="001B0638" w:rsidRDefault="001B0638" w:rsidP="0071565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FELayout/>
  </w:compat>
  <w:rsids>
    <w:rsidRoot w:val="0049132B"/>
    <w:rsid w:val="00056196"/>
    <w:rsid w:val="000C05A0"/>
    <w:rsid w:val="000C3A7E"/>
    <w:rsid w:val="00103978"/>
    <w:rsid w:val="00111601"/>
    <w:rsid w:val="00116DB7"/>
    <w:rsid w:val="00141CE2"/>
    <w:rsid w:val="00165C52"/>
    <w:rsid w:val="001910FE"/>
    <w:rsid w:val="001B0638"/>
    <w:rsid w:val="001C3DEA"/>
    <w:rsid w:val="001D763F"/>
    <w:rsid w:val="00202448"/>
    <w:rsid w:val="00225938"/>
    <w:rsid w:val="00227E29"/>
    <w:rsid w:val="002418AC"/>
    <w:rsid w:val="00287431"/>
    <w:rsid w:val="002903D4"/>
    <w:rsid w:val="002939FD"/>
    <w:rsid w:val="002A42C9"/>
    <w:rsid w:val="002B617B"/>
    <w:rsid w:val="002C0150"/>
    <w:rsid w:val="00362FDF"/>
    <w:rsid w:val="00365E82"/>
    <w:rsid w:val="00377ED4"/>
    <w:rsid w:val="003C0182"/>
    <w:rsid w:val="003C6341"/>
    <w:rsid w:val="00477460"/>
    <w:rsid w:val="0049132B"/>
    <w:rsid w:val="004B7F2D"/>
    <w:rsid w:val="00517BB2"/>
    <w:rsid w:val="005740D0"/>
    <w:rsid w:val="005D1809"/>
    <w:rsid w:val="005E37A8"/>
    <w:rsid w:val="005F1FFB"/>
    <w:rsid w:val="006653AE"/>
    <w:rsid w:val="006A0354"/>
    <w:rsid w:val="006A0F7A"/>
    <w:rsid w:val="006C4BCE"/>
    <w:rsid w:val="006F3ED7"/>
    <w:rsid w:val="006F6452"/>
    <w:rsid w:val="007135BB"/>
    <w:rsid w:val="0071565E"/>
    <w:rsid w:val="00722765"/>
    <w:rsid w:val="00790E44"/>
    <w:rsid w:val="007C2F80"/>
    <w:rsid w:val="007F7E08"/>
    <w:rsid w:val="008173B6"/>
    <w:rsid w:val="008363E9"/>
    <w:rsid w:val="00870E2D"/>
    <w:rsid w:val="00885D5C"/>
    <w:rsid w:val="008918CD"/>
    <w:rsid w:val="00941344"/>
    <w:rsid w:val="00963CD4"/>
    <w:rsid w:val="009707B3"/>
    <w:rsid w:val="009802C9"/>
    <w:rsid w:val="00984B8B"/>
    <w:rsid w:val="009E14D0"/>
    <w:rsid w:val="00A466A7"/>
    <w:rsid w:val="00A57A26"/>
    <w:rsid w:val="00A66767"/>
    <w:rsid w:val="00AB7306"/>
    <w:rsid w:val="00AC737F"/>
    <w:rsid w:val="00AE50C6"/>
    <w:rsid w:val="00B92E47"/>
    <w:rsid w:val="00BB039F"/>
    <w:rsid w:val="00BB0AC2"/>
    <w:rsid w:val="00BF7565"/>
    <w:rsid w:val="00C26EB0"/>
    <w:rsid w:val="00C40AD2"/>
    <w:rsid w:val="00CB5C8E"/>
    <w:rsid w:val="00CC1374"/>
    <w:rsid w:val="00CD5D04"/>
    <w:rsid w:val="00CE0B43"/>
    <w:rsid w:val="00D674BA"/>
    <w:rsid w:val="00D9666A"/>
    <w:rsid w:val="00DA6C8D"/>
    <w:rsid w:val="00DB6CB4"/>
    <w:rsid w:val="00DF67A5"/>
    <w:rsid w:val="00DF7543"/>
    <w:rsid w:val="00E06247"/>
    <w:rsid w:val="00E15890"/>
    <w:rsid w:val="00E31CE7"/>
    <w:rsid w:val="00E408B8"/>
    <w:rsid w:val="00EC07AA"/>
    <w:rsid w:val="00EE1396"/>
    <w:rsid w:val="00EE4CE5"/>
    <w:rsid w:val="00F20B3F"/>
    <w:rsid w:val="00F2528E"/>
    <w:rsid w:val="00F51C6A"/>
    <w:rsid w:val="00F66DF8"/>
    <w:rsid w:val="00F978BE"/>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63E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71565E"/>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71565E"/>
  </w:style>
  <w:style w:type="paragraph" w:styleId="Pieddepage">
    <w:name w:val="footer"/>
    <w:basedOn w:val="Normal"/>
    <w:link w:val="PieddepageCar"/>
    <w:uiPriority w:val="99"/>
    <w:semiHidden/>
    <w:unhideWhenUsed/>
    <w:rsid w:val="0071565E"/>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71565E"/>
  </w:style>
  <w:style w:type="paragraph" w:styleId="Textedebulles">
    <w:name w:val="Balloon Text"/>
    <w:basedOn w:val="Normal"/>
    <w:link w:val="TextedebullesCar"/>
    <w:uiPriority w:val="99"/>
    <w:semiHidden/>
    <w:unhideWhenUsed/>
    <w:rsid w:val="002903D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903D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17274437">
      <w:bodyDiv w:val="1"/>
      <w:marLeft w:val="0"/>
      <w:marRight w:val="0"/>
      <w:marTop w:val="0"/>
      <w:marBottom w:val="0"/>
      <w:divBdr>
        <w:top w:val="none" w:sz="0" w:space="0" w:color="auto"/>
        <w:left w:val="none" w:sz="0" w:space="0" w:color="auto"/>
        <w:bottom w:val="none" w:sz="0" w:space="0" w:color="auto"/>
        <w:right w:val="none" w:sz="0" w:space="0" w:color="auto"/>
      </w:divBdr>
    </w:div>
    <w:div w:id="1882982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631</Words>
  <Characters>3475</Characters>
  <Application>Microsoft Office Word</Application>
  <DocSecurity>0</DocSecurity>
  <Lines>28</Lines>
  <Paragraphs>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4098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sabrina</dc:creator>
  <cp:keywords/>
  <dc:description/>
  <cp:lastModifiedBy>SWEET</cp:lastModifiedBy>
  <cp:revision>2</cp:revision>
  <dcterms:created xsi:type="dcterms:W3CDTF">2011-06-14T07:27:00Z</dcterms:created>
  <dcterms:modified xsi:type="dcterms:W3CDTF">2011-06-14T07:27:00Z</dcterms:modified>
</cp:coreProperties>
</file>