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51F21" w:rsidRDefault="00B51F21" w:rsidP="00B51F21">
      <w:pPr>
        <w:rPr>
          <w:color w:val="auto"/>
          <w:sz w:val="20"/>
          <w:szCs w:val="20"/>
        </w:rPr>
      </w:pPr>
      <w:r>
        <w:rPr>
          <w:color w:val="auto"/>
          <w:sz w:val="20"/>
          <w:szCs w:val="20"/>
        </w:rPr>
        <w:t xml:space="preserve">             MINISTERE DE L’ENSEIGNEMENT SUPERIEUR ET DE LA RECHERCHE SCIENTIFIQUE</w:t>
      </w:r>
    </w:p>
    <w:p w:rsidR="00B51F21" w:rsidRDefault="00B51F21" w:rsidP="00B51F21">
      <w:pPr>
        <w:jc w:val="center"/>
        <w:rPr>
          <w:color w:val="auto"/>
          <w:sz w:val="20"/>
          <w:szCs w:val="20"/>
        </w:rPr>
      </w:pPr>
      <w:r>
        <w:rPr>
          <w:color w:val="auto"/>
          <w:sz w:val="20"/>
          <w:szCs w:val="20"/>
        </w:rPr>
        <w:t>UNIVERSITE DES SCIENCES ET DE LA TECHNOLOGIE HOUARI BOUMEDIENE</w:t>
      </w:r>
    </w:p>
    <w:p w:rsidR="00B51F21" w:rsidRDefault="00B51F21" w:rsidP="00B51F21">
      <w:pPr>
        <w:jc w:val="center"/>
        <w:rPr>
          <w:color w:val="auto"/>
        </w:rPr>
      </w:pPr>
    </w:p>
    <w:p w:rsidR="00B51F21" w:rsidRDefault="00B51F21" w:rsidP="00B51F21">
      <w:pPr>
        <w:jc w:val="center"/>
        <w:rPr>
          <w:color w:val="auto"/>
        </w:rPr>
      </w:pPr>
      <w:r>
        <w:object w:dxaOrig="2640" w:dyaOrig="237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20.75pt;height:93.75pt" o:ole="" filled="t">
            <v:fill color2="black"/>
            <v:imagedata r:id="rId4" o:title=""/>
          </v:shape>
          <o:OLEObject Type="Embed" ProgID="PBrush" ShapeID="_x0000_i1025" DrawAspect="Content" ObjectID="_1599807687" r:id="rId5"/>
        </w:object>
      </w:r>
    </w:p>
    <w:p w:rsidR="00B51F21" w:rsidRDefault="00B51F21" w:rsidP="00B51F21">
      <w:pPr>
        <w:jc w:val="center"/>
        <w:rPr>
          <w:color w:val="auto"/>
        </w:rPr>
      </w:pPr>
      <w:r>
        <w:rPr>
          <w:color w:val="auto"/>
        </w:rPr>
        <w:t>Faculté de Mathématiques</w:t>
      </w:r>
    </w:p>
    <w:p w:rsidR="00B51F21" w:rsidRDefault="00B51F21" w:rsidP="00B51F21">
      <w:pPr>
        <w:jc w:val="center"/>
        <w:rPr>
          <w:color w:val="auto"/>
        </w:rPr>
      </w:pPr>
      <w:r>
        <w:rPr>
          <w:color w:val="auto"/>
        </w:rPr>
        <w:t xml:space="preserve">Département d'Algèbre et Théorie des Nombres </w:t>
      </w:r>
    </w:p>
    <w:p w:rsidR="00B51F21" w:rsidRDefault="00B51F21" w:rsidP="00B51F21">
      <w:pPr>
        <w:jc w:val="center"/>
        <w:rPr>
          <w:color w:val="auto"/>
        </w:rPr>
      </w:pPr>
    </w:p>
    <w:p w:rsidR="00B51F21" w:rsidRDefault="00B51F21" w:rsidP="00B51F21">
      <w:pPr>
        <w:jc w:val="center"/>
        <w:rPr>
          <w:b/>
          <w:color w:val="auto"/>
        </w:rPr>
      </w:pPr>
    </w:p>
    <w:p w:rsidR="00B51F21" w:rsidRDefault="00B51F21" w:rsidP="00B51F21">
      <w:pPr>
        <w:jc w:val="center"/>
        <w:rPr>
          <w:b/>
          <w:color w:val="auto"/>
        </w:rPr>
      </w:pPr>
      <w:r>
        <w:rPr>
          <w:b/>
          <w:color w:val="auto"/>
        </w:rPr>
        <w:t>Résumé de la thèse de Doctorat en Mathématiques</w:t>
      </w:r>
    </w:p>
    <w:p w:rsidR="00B51F21" w:rsidRDefault="00B51F21" w:rsidP="00B51F21">
      <w:pPr>
        <w:jc w:val="center"/>
        <w:rPr>
          <w:b/>
          <w:color w:val="auto"/>
        </w:rPr>
      </w:pPr>
      <w:r>
        <w:rPr>
          <w:b/>
          <w:color w:val="auto"/>
        </w:rPr>
        <w:t>Option : Algèbre et Théorie des Nombres</w:t>
      </w:r>
    </w:p>
    <w:p w:rsidR="00B51F21" w:rsidRDefault="00B51F21" w:rsidP="00B51F21">
      <w:pPr>
        <w:jc w:val="center"/>
        <w:rPr>
          <w:color w:val="auto"/>
          <w:sz w:val="26"/>
          <w:szCs w:val="26"/>
        </w:rPr>
      </w:pPr>
      <w:r>
        <w:rPr>
          <w:color w:val="auto"/>
          <w:sz w:val="26"/>
          <w:szCs w:val="26"/>
        </w:rPr>
        <w:t>Présenté</w:t>
      </w:r>
      <w:r w:rsidR="008D1298">
        <w:rPr>
          <w:color w:val="auto"/>
          <w:sz w:val="26"/>
          <w:szCs w:val="26"/>
        </w:rPr>
        <w:t>e</w:t>
      </w:r>
      <w:r>
        <w:rPr>
          <w:color w:val="auto"/>
          <w:sz w:val="26"/>
          <w:szCs w:val="26"/>
        </w:rPr>
        <w:t xml:space="preserve"> par </w:t>
      </w:r>
    </w:p>
    <w:p w:rsidR="00B51F21" w:rsidRDefault="00872097" w:rsidP="00B51F21">
      <w:pPr>
        <w:jc w:val="center"/>
        <w:rPr>
          <w:b/>
          <w:bCs/>
          <w:color w:val="auto"/>
          <w:sz w:val="32"/>
          <w:szCs w:val="32"/>
          <w:vertAlign w:val="superscript"/>
        </w:rPr>
      </w:pPr>
      <w:r>
        <w:rPr>
          <w:b/>
          <w:bCs/>
          <w:color w:val="auto"/>
        </w:rPr>
        <w:t>BOUMAHDI</w:t>
      </w:r>
      <w:r w:rsidR="00B51F21">
        <w:rPr>
          <w:b/>
          <w:bCs/>
          <w:color w:val="auto"/>
        </w:rPr>
        <w:t xml:space="preserve">  </w:t>
      </w:r>
      <w:r>
        <w:rPr>
          <w:b/>
          <w:bCs/>
          <w:color w:val="auto"/>
        </w:rPr>
        <w:t>Rachid</w:t>
      </w:r>
      <w:r w:rsidR="00B51F21">
        <w:rPr>
          <w:b/>
          <w:bCs/>
          <w:color w:val="auto"/>
          <w:vertAlign w:val="superscript"/>
        </w:rPr>
        <w:t>(1)</w:t>
      </w:r>
    </w:p>
    <w:p w:rsidR="00B51F21" w:rsidRDefault="00B51F21" w:rsidP="00B51F21">
      <w:pPr>
        <w:jc w:val="center"/>
        <w:rPr>
          <w:color w:val="auto"/>
        </w:rPr>
      </w:pPr>
    </w:p>
    <w:p w:rsidR="00B51F21" w:rsidRDefault="00B51F21" w:rsidP="00B51F21">
      <w:pPr>
        <w:jc w:val="center"/>
        <w:rPr>
          <w:b/>
          <w:color w:val="auto"/>
        </w:rPr>
      </w:pPr>
      <w:r>
        <w:rPr>
          <w:b/>
          <w:color w:val="auto"/>
        </w:rPr>
        <w:t>Sujet</w:t>
      </w:r>
    </w:p>
    <w:p w:rsidR="00B51F21" w:rsidRDefault="00B51F21" w:rsidP="00B51F21">
      <w:pPr>
        <w:jc w:val="center"/>
        <w:rPr>
          <w:b/>
          <w:color w:val="auto"/>
        </w:rPr>
      </w:pPr>
    </w:p>
    <w:p w:rsidR="00B51F21" w:rsidRDefault="00B51F21" w:rsidP="00B51F2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b/>
          <w:color w:val="auto"/>
        </w:rPr>
      </w:pPr>
    </w:p>
    <w:p w:rsidR="00B51F21" w:rsidRDefault="004821C8" w:rsidP="00B51F2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b/>
          <w:color w:val="auto"/>
          <w:sz w:val="32"/>
          <w:szCs w:val="32"/>
        </w:rPr>
      </w:pPr>
      <w:r w:rsidRPr="004821C8">
        <w:rPr>
          <w:b/>
          <w:color w:val="auto"/>
          <w:sz w:val="32"/>
          <w:szCs w:val="32"/>
        </w:rPr>
        <w:t>Contribution à l'étude de congruences de familles de nombres remarquables</w:t>
      </w:r>
      <w:r w:rsidR="006F0676">
        <w:rPr>
          <w:b/>
          <w:color w:val="auto"/>
          <w:sz w:val="32"/>
          <w:szCs w:val="32"/>
        </w:rPr>
        <w:t xml:space="preserve"> et équations diophantiennes</w:t>
      </w:r>
    </w:p>
    <w:p w:rsidR="004821C8" w:rsidRDefault="004821C8" w:rsidP="00B51F2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b/>
          <w:color w:val="auto"/>
          <w:vertAlign w:val="superscript"/>
        </w:rPr>
      </w:pPr>
    </w:p>
    <w:p w:rsidR="00B51F21" w:rsidRDefault="00B51F21" w:rsidP="00B51F21">
      <w:pPr>
        <w:tabs>
          <w:tab w:val="left" w:pos="3570"/>
          <w:tab w:val="center" w:pos="4534"/>
        </w:tabs>
        <w:rPr>
          <w:b/>
          <w:color w:val="auto"/>
          <w:sz w:val="28"/>
          <w:szCs w:val="28"/>
        </w:rPr>
      </w:pPr>
    </w:p>
    <w:p w:rsidR="00B51F21" w:rsidRDefault="00B51F21" w:rsidP="00B51F21">
      <w:pPr>
        <w:tabs>
          <w:tab w:val="left" w:pos="3570"/>
          <w:tab w:val="center" w:pos="4534"/>
        </w:tabs>
        <w:jc w:val="center"/>
        <w:rPr>
          <w:b/>
          <w:color w:val="auto"/>
          <w:sz w:val="28"/>
          <w:szCs w:val="28"/>
        </w:rPr>
      </w:pPr>
      <w:r>
        <w:rPr>
          <w:b/>
          <w:color w:val="auto"/>
          <w:sz w:val="28"/>
          <w:szCs w:val="28"/>
        </w:rPr>
        <w:t>Résumé</w:t>
      </w:r>
    </w:p>
    <w:p w:rsidR="00D32C21" w:rsidRDefault="00D32C21" w:rsidP="00B51F21">
      <w:pPr>
        <w:tabs>
          <w:tab w:val="left" w:pos="3570"/>
          <w:tab w:val="center" w:pos="4534"/>
        </w:tabs>
        <w:jc w:val="center"/>
        <w:rPr>
          <w:b/>
          <w:color w:val="auto"/>
          <w:sz w:val="28"/>
          <w:szCs w:val="28"/>
        </w:rPr>
      </w:pPr>
    </w:p>
    <w:p w:rsidR="00B535FB" w:rsidRDefault="00B535FB" w:rsidP="0045630F">
      <w:pPr>
        <w:pBdr>
          <w:top w:val="single" w:sz="4" w:space="3" w:color="000000"/>
          <w:left w:val="single" w:sz="4" w:space="4" w:color="000000"/>
          <w:bottom w:val="single" w:sz="4" w:space="0" w:color="000000"/>
          <w:right w:val="single" w:sz="4" w:space="4" w:color="000000"/>
        </w:pBdr>
        <w:rPr>
          <w:color w:val="auto"/>
          <w:sz w:val="28"/>
          <w:szCs w:val="28"/>
        </w:rPr>
      </w:pPr>
    </w:p>
    <w:p w:rsidR="002331EE" w:rsidRDefault="00B535FB" w:rsidP="0045630F">
      <w:pPr>
        <w:pBdr>
          <w:top w:val="single" w:sz="4" w:space="3" w:color="000000"/>
          <w:left w:val="single" w:sz="4" w:space="4" w:color="000000"/>
          <w:bottom w:val="single" w:sz="4" w:space="0" w:color="000000"/>
          <w:right w:val="single" w:sz="4" w:space="4" w:color="000000"/>
        </w:pBdr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       </w:t>
      </w:r>
      <w:r w:rsidR="003A64E9" w:rsidRPr="003A64E9">
        <w:rPr>
          <w:color w:val="auto"/>
          <w:sz w:val="28"/>
          <w:szCs w:val="28"/>
        </w:rPr>
        <w:t>Cette thèse est consacrée à une analyse de certaines congruences de familles de nombres remarquables ainsi qu'à une étude de certaines équat</w:t>
      </w:r>
      <w:r w:rsidR="008B0BF5">
        <w:rPr>
          <w:color w:val="auto"/>
          <w:sz w:val="28"/>
          <w:szCs w:val="28"/>
        </w:rPr>
        <w:t>ions diophantiennes</w:t>
      </w:r>
      <w:r w:rsidR="003A64E9" w:rsidRPr="003A64E9">
        <w:rPr>
          <w:color w:val="auto"/>
          <w:sz w:val="28"/>
          <w:szCs w:val="28"/>
        </w:rPr>
        <w:t xml:space="preserve"> particulières.</w:t>
      </w:r>
    </w:p>
    <w:p w:rsidR="00794AA6" w:rsidRDefault="00B51F21" w:rsidP="0045630F">
      <w:pPr>
        <w:pBdr>
          <w:top w:val="single" w:sz="4" w:space="3" w:color="000000"/>
          <w:left w:val="single" w:sz="4" w:space="4" w:color="000000"/>
          <w:bottom w:val="single" w:sz="4" w:space="0" w:color="000000"/>
          <w:right w:val="single" w:sz="4" w:space="4" w:color="000000"/>
        </w:pBdr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 </w:t>
      </w:r>
      <w:r w:rsidR="00B652AB">
        <w:rPr>
          <w:color w:val="auto"/>
          <w:sz w:val="28"/>
          <w:szCs w:val="28"/>
        </w:rPr>
        <w:t>D'une part, n</w:t>
      </w:r>
      <w:r w:rsidR="002331EE">
        <w:rPr>
          <w:color w:val="auto"/>
          <w:sz w:val="28"/>
          <w:szCs w:val="28"/>
        </w:rPr>
        <w:t>ous démontrons un</w:t>
      </w:r>
      <w:r w:rsidR="002331EE" w:rsidRPr="002331EE">
        <w:rPr>
          <w:color w:val="auto"/>
          <w:sz w:val="28"/>
          <w:szCs w:val="28"/>
        </w:rPr>
        <w:t xml:space="preserve"> résul</w:t>
      </w:r>
      <w:r w:rsidR="002331EE">
        <w:rPr>
          <w:color w:val="auto"/>
          <w:sz w:val="28"/>
          <w:szCs w:val="28"/>
        </w:rPr>
        <w:t>t</w:t>
      </w:r>
      <w:r w:rsidR="002C401C">
        <w:rPr>
          <w:color w:val="auto"/>
          <w:sz w:val="28"/>
          <w:szCs w:val="28"/>
        </w:rPr>
        <w:t xml:space="preserve">at qui </w:t>
      </w:r>
      <w:r w:rsidR="002331EE">
        <w:rPr>
          <w:color w:val="auto"/>
          <w:sz w:val="28"/>
          <w:szCs w:val="28"/>
        </w:rPr>
        <w:t xml:space="preserve">généralise à la fois la congruence </w:t>
      </w:r>
      <w:r w:rsidR="002331EE" w:rsidRPr="002331EE">
        <w:rPr>
          <w:color w:val="auto"/>
          <w:sz w:val="28"/>
          <w:szCs w:val="28"/>
        </w:rPr>
        <w:t>de Wolstenholme e</w:t>
      </w:r>
      <w:r w:rsidR="00CB711C">
        <w:rPr>
          <w:color w:val="auto"/>
          <w:sz w:val="28"/>
          <w:szCs w:val="28"/>
        </w:rPr>
        <w:t>t</w:t>
      </w:r>
      <w:r w:rsidR="002331EE" w:rsidRPr="002331EE">
        <w:rPr>
          <w:color w:val="auto"/>
          <w:sz w:val="28"/>
          <w:szCs w:val="28"/>
        </w:rPr>
        <w:t xml:space="preserve"> </w:t>
      </w:r>
      <w:r w:rsidR="002331EE">
        <w:rPr>
          <w:color w:val="auto"/>
          <w:sz w:val="28"/>
          <w:szCs w:val="28"/>
        </w:rPr>
        <w:t xml:space="preserve">celle </w:t>
      </w:r>
      <w:r w:rsidR="00CB711C">
        <w:rPr>
          <w:color w:val="auto"/>
          <w:sz w:val="28"/>
          <w:szCs w:val="28"/>
        </w:rPr>
        <w:t xml:space="preserve">de </w:t>
      </w:r>
      <w:r w:rsidR="002331EE">
        <w:rPr>
          <w:color w:val="auto"/>
          <w:sz w:val="28"/>
          <w:szCs w:val="28"/>
        </w:rPr>
        <w:t xml:space="preserve">Morley </w:t>
      </w:r>
      <w:r w:rsidR="00B652AB">
        <w:rPr>
          <w:color w:val="auto"/>
          <w:sz w:val="28"/>
          <w:szCs w:val="28"/>
        </w:rPr>
        <w:t xml:space="preserve">concernant certains coefficients binomiaux. Ce résultat permet de retrouver </w:t>
      </w:r>
      <w:r w:rsidR="002331EE" w:rsidRPr="002331EE">
        <w:rPr>
          <w:color w:val="auto"/>
          <w:sz w:val="28"/>
          <w:szCs w:val="28"/>
        </w:rPr>
        <w:t>différentes améliorations de ces congruences obtenues par d'autres auteurs.</w:t>
      </w:r>
    </w:p>
    <w:p w:rsidR="00080DB9" w:rsidRDefault="00B652AB" w:rsidP="0045630F">
      <w:pPr>
        <w:pBdr>
          <w:top w:val="single" w:sz="4" w:space="3" w:color="000000"/>
          <w:left w:val="single" w:sz="4" w:space="4" w:color="000000"/>
          <w:bottom w:val="single" w:sz="4" w:space="0" w:color="000000"/>
          <w:right w:val="single" w:sz="4" w:space="4" w:color="000000"/>
        </w:pBdr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>D'autre part, n</w:t>
      </w:r>
      <w:r w:rsidR="00794AA6" w:rsidRPr="00794AA6">
        <w:rPr>
          <w:color w:val="auto"/>
          <w:sz w:val="28"/>
          <w:szCs w:val="28"/>
        </w:rPr>
        <w:t>ous analysons minutieusement les travaux d</w:t>
      </w:r>
      <w:r w:rsidR="00080DB9">
        <w:rPr>
          <w:color w:val="auto"/>
          <w:sz w:val="28"/>
          <w:szCs w:val="28"/>
        </w:rPr>
        <w:t xml:space="preserve">e Keskin, Siar et Karaatli  concernant </w:t>
      </w:r>
      <w:r w:rsidR="008972B5">
        <w:rPr>
          <w:color w:val="auto"/>
          <w:sz w:val="28"/>
          <w:szCs w:val="28"/>
        </w:rPr>
        <w:t>une ét</w:t>
      </w:r>
      <w:r w:rsidR="00080DB9">
        <w:rPr>
          <w:color w:val="auto"/>
          <w:sz w:val="28"/>
          <w:szCs w:val="28"/>
        </w:rPr>
        <w:t>ude approfondie de l'équation diophantienne</w:t>
      </w:r>
    </w:p>
    <w:p w:rsidR="00080DB9" w:rsidRDefault="00ED13F2" w:rsidP="0045630F">
      <w:pPr>
        <w:pBdr>
          <w:top w:val="single" w:sz="4" w:space="3" w:color="000000"/>
          <w:left w:val="single" w:sz="4" w:space="4" w:color="000000"/>
          <w:bottom w:val="single" w:sz="4" w:space="0" w:color="000000"/>
          <w:right w:val="single" w:sz="4" w:space="4" w:color="000000"/>
        </w:pBdr>
        <w:rPr>
          <w:color w:val="auto"/>
          <w:sz w:val="28"/>
          <w:szCs w:val="28"/>
        </w:rPr>
      </w:pPr>
      <m:oMathPara>
        <m:oMath>
          <m:sSup>
            <m:sSupPr>
              <m:ctrlPr>
                <w:rPr>
                  <w:rFonts w:ascii="Cambria Math" w:hAnsi="Cambria Math"/>
                  <w:i/>
                  <w:color w:val="auto"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</w:rPr>
                <m:t>x</m:t>
              </m:r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2</m:t>
              </m:r>
            </m:sup>
          </m:sSup>
          <m:r>
            <w:rPr>
              <w:rFonts w:ascii="Cambria Math" w:hAnsi="Cambria Math"/>
              <w:color w:val="auto"/>
              <w:sz w:val="28"/>
              <w:szCs w:val="28"/>
            </w:rPr>
            <m:t>-kxy+</m:t>
          </m:r>
          <m:sSup>
            <m:sSupPr>
              <m:ctrlPr>
                <w:rPr>
                  <w:rFonts w:ascii="Cambria Math" w:hAnsi="Cambria Math"/>
                  <w:i/>
                  <w:color w:val="auto"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</w:rPr>
                <m:t>y</m:t>
              </m:r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2</m:t>
              </m:r>
            </m:sup>
          </m:sSup>
          <m:r>
            <w:rPr>
              <w:rFonts w:ascii="Cambria Math" w:hAnsi="Cambria Math"/>
              <w:color w:val="auto"/>
              <w:sz w:val="28"/>
              <w:szCs w:val="28"/>
            </w:rPr>
            <m:t>±</m:t>
          </m:r>
          <m:sSup>
            <m:sSupPr>
              <m:ctrlPr>
                <w:rPr>
                  <w:rFonts w:ascii="Cambria Math" w:hAnsi="Cambria Math"/>
                  <w:i/>
                  <w:color w:val="auto"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</w:rPr>
                <m:t>2</m:t>
              </m:r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n</m:t>
              </m:r>
            </m:sup>
          </m:sSup>
          <m:r>
            <w:rPr>
              <w:rFonts w:ascii="Cambria Math" w:hAnsi="Cambria Math"/>
              <w:color w:val="auto"/>
              <w:sz w:val="28"/>
              <w:szCs w:val="28"/>
            </w:rPr>
            <m:t>=0</m:t>
          </m:r>
        </m:oMath>
      </m:oMathPara>
    </w:p>
    <w:p w:rsidR="00B535FB" w:rsidRDefault="00794AA6" w:rsidP="00B535FB">
      <w:pPr>
        <w:pBdr>
          <w:top w:val="single" w:sz="4" w:space="3" w:color="000000"/>
          <w:left w:val="single" w:sz="4" w:space="4" w:color="000000"/>
          <w:bottom w:val="single" w:sz="4" w:space="0" w:color="000000"/>
          <w:right w:val="single" w:sz="4" w:space="4" w:color="000000"/>
        </w:pBdr>
        <w:rPr>
          <w:color w:val="auto"/>
          <w:sz w:val="28"/>
          <w:szCs w:val="28"/>
        </w:rPr>
      </w:pPr>
      <w:r w:rsidRPr="00794AA6">
        <w:rPr>
          <w:color w:val="auto"/>
          <w:sz w:val="28"/>
          <w:szCs w:val="28"/>
        </w:rPr>
        <w:t>Nous</w:t>
      </w:r>
      <w:r w:rsidR="00B652AB">
        <w:rPr>
          <w:color w:val="auto"/>
          <w:sz w:val="28"/>
          <w:szCs w:val="28"/>
        </w:rPr>
        <w:t xml:space="preserve"> prouvons une</w:t>
      </w:r>
      <w:r w:rsidRPr="00794AA6">
        <w:rPr>
          <w:color w:val="auto"/>
          <w:sz w:val="28"/>
          <w:szCs w:val="28"/>
        </w:rPr>
        <w:t xml:space="preserve"> conjecture </w:t>
      </w:r>
      <w:r w:rsidR="00B652AB">
        <w:rPr>
          <w:color w:val="auto"/>
          <w:sz w:val="28"/>
          <w:szCs w:val="28"/>
        </w:rPr>
        <w:t>concernant le nombre de solutions de cette équatio</w:t>
      </w:r>
      <w:r w:rsidR="00E00976">
        <w:rPr>
          <w:color w:val="auto"/>
          <w:sz w:val="28"/>
          <w:szCs w:val="28"/>
        </w:rPr>
        <w:t>n, énoncée en 2013 par ces auteu</w:t>
      </w:r>
      <w:r w:rsidR="00CB711C">
        <w:rPr>
          <w:color w:val="auto"/>
          <w:sz w:val="28"/>
          <w:szCs w:val="28"/>
        </w:rPr>
        <w:t>rs.</w:t>
      </w:r>
      <w:r w:rsidR="00211B09">
        <w:rPr>
          <w:color w:val="auto"/>
          <w:sz w:val="28"/>
          <w:szCs w:val="28"/>
        </w:rPr>
        <w:t xml:space="preserve"> Enfin </w:t>
      </w:r>
      <w:r w:rsidR="00774EE6">
        <w:rPr>
          <w:color w:val="auto"/>
          <w:sz w:val="28"/>
          <w:szCs w:val="28"/>
        </w:rPr>
        <w:t>n</w:t>
      </w:r>
      <w:r w:rsidR="008972B5">
        <w:rPr>
          <w:color w:val="auto"/>
          <w:sz w:val="28"/>
          <w:szCs w:val="28"/>
        </w:rPr>
        <w:t>ous étud</w:t>
      </w:r>
      <w:r w:rsidR="00851FCE">
        <w:rPr>
          <w:color w:val="auto"/>
          <w:sz w:val="28"/>
          <w:szCs w:val="28"/>
        </w:rPr>
        <w:t>ions aussi certains</w:t>
      </w:r>
      <w:r w:rsidR="009B5897">
        <w:rPr>
          <w:color w:val="auto"/>
          <w:sz w:val="28"/>
          <w:szCs w:val="28"/>
        </w:rPr>
        <w:t xml:space="preserve"> polynômes à</w:t>
      </w:r>
      <w:r w:rsidR="00211B09">
        <w:rPr>
          <w:color w:val="auto"/>
          <w:sz w:val="28"/>
          <w:szCs w:val="28"/>
        </w:rPr>
        <w:t xml:space="preserve"> valeurs entières</w:t>
      </w:r>
      <w:r w:rsidR="00B535FB">
        <w:rPr>
          <w:color w:val="auto"/>
          <w:sz w:val="28"/>
          <w:szCs w:val="28"/>
        </w:rPr>
        <w:t>.</w:t>
      </w:r>
      <w:bookmarkStart w:id="0" w:name="_GoBack"/>
      <w:bookmarkEnd w:id="0"/>
    </w:p>
    <w:sectPr w:rsidR="00B535FB" w:rsidSect="009953C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1F21"/>
    <w:rsid w:val="000236CB"/>
    <w:rsid w:val="00044B0C"/>
    <w:rsid w:val="00062ABE"/>
    <w:rsid w:val="00080DB9"/>
    <w:rsid w:val="000E110A"/>
    <w:rsid w:val="000F2EB2"/>
    <w:rsid w:val="001338C3"/>
    <w:rsid w:val="00164DDA"/>
    <w:rsid w:val="0018737E"/>
    <w:rsid w:val="001D3F16"/>
    <w:rsid w:val="00211B09"/>
    <w:rsid w:val="0022793D"/>
    <w:rsid w:val="002331EE"/>
    <w:rsid w:val="002C401C"/>
    <w:rsid w:val="003421B4"/>
    <w:rsid w:val="003A64E9"/>
    <w:rsid w:val="003D1C95"/>
    <w:rsid w:val="003E5BD9"/>
    <w:rsid w:val="004508AB"/>
    <w:rsid w:val="0045630F"/>
    <w:rsid w:val="004821C8"/>
    <w:rsid w:val="004E2675"/>
    <w:rsid w:val="004F0695"/>
    <w:rsid w:val="005C1E16"/>
    <w:rsid w:val="00656E48"/>
    <w:rsid w:val="006F0676"/>
    <w:rsid w:val="00720154"/>
    <w:rsid w:val="00732071"/>
    <w:rsid w:val="00774EE6"/>
    <w:rsid w:val="00783202"/>
    <w:rsid w:val="0079345B"/>
    <w:rsid w:val="00794AA6"/>
    <w:rsid w:val="007A531C"/>
    <w:rsid w:val="007D248E"/>
    <w:rsid w:val="0080388A"/>
    <w:rsid w:val="008109D1"/>
    <w:rsid w:val="0082762A"/>
    <w:rsid w:val="00851FCE"/>
    <w:rsid w:val="00854F48"/>
    <w:rsid w:val="00872097"/>
    <w:rsid w:val="008726DB"/>
    <w:rsid w:val="00873AE1"/>
    <w:rsid w:val="00875DCC"/>
    <w:rsid w:val="008972B5"/>
    <w:rsid w:val="008B0BF5"/>
    <w:rsid w:val="008D1298"/>
    <w:rsid w:val="00934D97"/>
    <w:rsid w:val="009953C8"/>
    <w:rsid w:val="009B5897"/>
    <w:rsid w:val="00A74CC2"/>
    <w:rsid w:val="00A9083A"/>
    <w:rsid w:val="00AA4FBB"/>
    <w:rsid w:val="00AC7E51"/>
    <w:rsid w:val="00AF4049"/>
    <w:rsid w:val="00B44CCD"/>
    <w:rsid w:val="00B51F21"/>
    <w:rsid w:val="00B535FB"/>
    <w:rsid w:val="00B57888"/>
    <w:rsid w:val="00B652AB"/>
    <w:rsid w:val="00BB15FE"/>
    <w:rsid w:val="00C66096"/>
    <w:rsid w:val="00CB711C"/>
    <w:rsid w:val="00D12CA0"/>
    <w:rsid w:val="00D32C21"/>
    <w:rsid w:val="00D81A13"/>
    <w:rsid w:val="00DA70AB"/>
    <w:rsid w:val="00DB130A"/>
    <w:rsid w:val="00E00976"/>
    <w:rsid w:val="00E07F51"/>
    <w:rsid w:val="00E40373"/>
    <w:rsid w:val="00E416CE"/>
    <w:rsid w:val="00E635AB"/>
    <w:rsid w:val="00EC0E9C"/>
    <w:rsid w:val="00ED13F2"/>
    <w:rsid w:val="00EF0876"/>
    <w:rsid w:val="00F84B95"/>
    <w:rsid w:val="00FA1B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0572ECB-D603-457E-9B03-1059035D62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51F21"/>
    <w:pPr>
      <w:suppressAutoHyphens/>
      <w:spacing w:after="0"/>
    </w:pPr>
    <w:rPr>
      <w:rFonts w:ascii="Times New Roman" w:eastAsia="Times New Roman" w:hAnsi="Times New Roman" w:cs="Times New Roman"/>
      <w:color w:val="000080"/>
      <w:sz w:val="24"/>
      <w:szCs w:val="24"/>
      <w:lang w:eastAsia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22793D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22793D"/>
    <w:rPr>
      <w:rFonts w:ascii="Tahoma" w:eastAsia="Times New Roman" w:hAnsi="Tahoma" w:cs="Tahoma"/>
      <w:color w:val="000080"/>
      <w:sz w:val="16"/>
      <w:szCs w:val="16"/>
      <w:lang w:eastAsia="ar-SA"/>
    </w:rPr>
  </w:style>
  <w:style w:type="character" w:styleId="Textedelespacerserv">
    <w:name w:val="Placeholder Text"/>
    <w:basedOn w:val="Policepardfaut"/>
    <w:uiPriority w:val="99"/>
    <w:semiHidden/>
    <w:rsid w:val="00E40373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0219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198</Words>
  <Characters>1091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tassili</dc:creator>
  <cp:lastModifiedBy>naima</cp:lastModifiedBy>
  <cp:revision>12</cp:revision>
  <cp:lastPrinted>2017-10-29T08:59:00Z</cp:lastPrinted>
  <dcterms:created xsi:type="dcterms:W3CDTF">2018-04-24T15:24:00Z</dcterms:created>
  <dcterms:modified xsi:type="dcterms:W3CDTF">2018-09-30T10:15:00Z</dcterms:modified>
</cp:coreProperties>
</file>