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1F21" w:rsidRDefault="00B51F21" w:rsidP="00B51F21">
      <w:pPr>
        <w:jc w:val="center"/>
        <w:rPr>
          <w:b/>
          <w:color w:val="auto"/>
        </w:rPr>
      </w:pPr>
      <w:r>
        <w:rPr>
          <w:b/>
          <w:color w:val="auto"/>
        </w:rPr>
        <w:t xml:space="preserve">Résumé de la thèse de Doctorat en </w:t>
      </w:r>
      <w:r w:rsidR="00BB50DE">
        <w:rPr>
          <w:b/>
          <w:color w:val="auto"/>
        </w:rPr>
        <w:t>Sciences</w:t>
      </w:r>
    </w:p>
    <w:p w:rsidR="00B51F21" w:rsidRDefault="00B51F21" w:rsidP="00B51F21">
      <w:pPr>
        <w:jc w:val="center"/>
        <w:rPr>
          <w:b/>
          <w:color w:val="auto"/>
        </w:rPr>
      </w:pPr>
      <w:r>
        <w:rPr>
          <w:b/>
          <w:color w:val="auto"/>
        </w:rPr>
        <w:t>Option : Algèbre et Théorie des Nombres</w:t>
      </w:r>
    </w:p>
    <w:p w:rsidR="00B51F21" w:rsidRDefault="00B51F21" w:rsidP="00B51F21">
      <w:pPr>
        <w:jc w:val="center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Présenté</w:t>
      </w:r>
      <w:r w:rsidR="008D1298">
        <w:rPr>
          <w:color w:val="auto"/>
          <w:sz w:val="26"/>
          <w:szCs w:val="26"/>
        </w:rPr>
        <w:t>e</w:t>
      </w:r>
      <w:r>
        <w:rPr>
          <w:color w:val="auto"/>
          <w:sz w:val="26"/>
          <w:szCs w:val="26"/>
        </w:rPr>
        <w:t xml:space="preserve"> par </w:t>
      </w:r>
    </w:p>
    <w:p w:rsidR="00B51F21" w:rsidRDefault="00B51F21" w:rsidP="00F50C04">
      <w:pPr>
        <w:jc w:val="center"/>
        <w:rPr>
          <w:b/>
          <w:bCs/>
          <w:color w:val="auto"/>
          <w:sz w:val="32"/>
          <w:szCs w:val="32"/>
          <w:vertAlign w:val="superscript"/>
        </w:rPr>
      </w:pPr>
      <w:r>
        <w:rPr>
          <w:b/>
          <w:bCs/>
          <w:color w:val="auto"/>
        </w:rPr>
        <w:t>ZEKIRI  Abdelmoumène</w:t>
      </w:r>
    </w:p>
    <w:p w:rsidR="00B51F21" w:rsidRDefault="00B51F21" w:rsidP="00B51F21">
      <w:pPr>
        <w:jc w:val="center"/>
        <w:rPr>
          <w:color w:val="auto"/>
        </w:rPr>
      </w:pPr>
    </w:p>
    <w:p w:rsidR="00B51F21" w:rsidRDefault="00B51F21" w:rsidP="00B51F21">
      <w:pPr>
        <w:jc w:val="center"/>
        <w:rPr>
          <w:b/>
          <w:color w:val="auto"/>
        </w:rPr>
      </w:pPr>
      <w:r>
        <w:rPr>
          <w:b/>
          <w:color w:val="auto"/>
        </w:rPr>
        <w:t>Sujet</w:t>
      </w:r>
    </w:p>
    <w:p w:rsidR="00B51F21" w:rsidRDefault="00BB1844" w:rsidP="00BB1844">
      <w:pPr>
        <w:jc w:val="center"/>
        <w:rPr>
          <w:b/>
          <w:color w:val="auto"/>
          <w:sz w:val="28"/>
          <w:szCs w:val="28"/>
        </w:rPr>
      </w:pPr>
      <w:r w:rsidRPr="00B51F21">
        <w:rPr>
          <w:b/>
          <w:color w:val="auto"/>
          <w:sz w:val="32"/>
          <w:szCs w:val="32"/>
        </w:rPr>
        <w:t xml:space="preserve">Propriétés combinatoires de suites polynomiales </w:t>
      </w:r>
      <w:r>
        <w:rPr>
          <w:b/>
          <w:color w:val="auto"/>
          <w:sz w:val="32"/>
          <w:szCs w:val="32"/>
        </w:rPr>
        <w:br/>
      </w:r>
      <w:r w:rsidRPr="00B51F21">
        <w:rPr>
          <w:b/>
          <w:color w:val="auto"/>
          <w:sz w:val="32"/>
          <w:szCs w:val="32"/>
        </w:rPr>
        <w:t>classique</w:t>
      </w:r>
      <w:r>
        <w:rPr>
          <w:b/>
          <w:color w:val="auto"/>
          <w:sz w:val="32"/>
          <w:szCs w:val="32"/>
        </w:rPr>
        <w:t xml:space="preserve">s </w:t>
      </w:r>
      <w:r w:rsidR="00B51F21">
        <w:rPr>
          <w:b/>
          <w:color w:val="auto"/>
          <w:sz w:val="28"/>
          <w:szCs w:val="28"/>
        </w:rPr>
        <w:t>Résumé</w:t>
      </w:r>
    </w:p>
    <w:p w:rsidR="00BB1844" w:rsidRDefault="00BB1844" w:rsidP="00BB1844">
      <w:pPr>
        <w:rPr>
          <w:color w:val="auto"/>
          <w:sz w:val="28"/>
          <w:szCs w:val="28"/>
        </w:rPr>
      </w:pPr>
    </w:p>
    <w:p w:rsidR="00BB1844" w:rsidRPr="00EF0876" w:rsidRDefault="00BB1844" w:rsidP="00BB1844">
      <w:pPr>
        <w:rPr>
          <w:color w:val="auto"/>
          <w:sz w:val="28"/>
          <w:szCs w:val="28"/>
        </w:rPr>
      </w:pPr>
    </w:p>
    <w:p w:rsidR="00BB1844" w:rsidRDefault="00BB1844" w:rsidP="00BB1844">
      <w:pPr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    </w:t>
      </w:r>
      <w:r w:rsidRPr="00EF0876">
        <w:rPr>
          <w:color w:val="auto"/>
          <w:sz w:val="28"/>
          <w:szCs w:val="28"/>
        </w:rPr>
        <w:t xml:space="preserve">Cette thèse de doctorat a pour thème l'étude d'identités vérifiées par des  suites de nombres et de polynômes remarquables telles que les suites de nombres et polynômes de Bernoulli, d'Euler, de </w:t>
      </w:r>
      <w:proofErr w:type="spellStart"/>
      <w:r w:rsidRPr="00EF0876">
        <w:rPr>
          <w:color w:val="auto"/>
          <w:sz w:val="28"/>
          <w:szCs w:val="28"/>
        </w:rPr>
        <w:t>Genocchi</w:t>
      </w:r>
      <w:proofErr w:type="spellEnd"/>
      <w:r w:rsidRPr="00EF0876">
        <w:rPr>
          <w:color w:val="auto"/>
          <w:sz w:val="28"/>
          <w:szCs w:val="28"/>
        </w:rPr>
        <w:t xml:space="preserve">, de </w:t>
      </w:r>
      <w:proofErr w:type="spellStart"/>
      <w:r w:rsidRPr="00EF0876">
        <w:rPr>
          <w:color w:val="auto"/>
          <w:sz w:val="28"/>
          <w:szCs w:val="28"/>
        </w:rPr>
        <w:t>Fibonacci</w:t>
      </w:r>
      <w:proofErr w:type="spellEnd"/>
      <w:r w:rsidRPr="00EF0876">
        <w:rPr>
          <w:color w:val="auto"/>
          <w:sz w:val="28"/>
          <w:szCs w:val="28"/>
        </w:rPr>
        <w:t xml:space="preserve"> et de Lucas. </w:t>
      </w:r>
    </w:p>
    <w:p w:rsidR="00D32C21" w:rsidRDefault="00BB1844" w:rsidP="00974DC4">
      <w:pPr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Les suites de polynômes de Bernoulli et d’Euler sont définies comme les bases de l’espace vectoriel </w:t>
      </w:r>
      <m:oMath>
        <m:r>
          <m:rPr>
            <m:scr m:val="double-struck"/>
          </m:rPr>
          <w:rPr>
            <w:rFonts w:ascii="Cambria Math" w:hAnsi="Cambria Math"/>
            <w:color w:val="auto"/>
            <w:sz w:val="28"/>
            <w:szCs w:val="28"/>
          </w:rPr>
          <m:t>C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color w:val="auto"/>
                <w:sz w:val="28"/>
                <w:szCs w:val="28"/>
              </w:rPr>
            </m:ctrlPr>
          </m:dPr>
          <m:e>
            <m:r>
              <w:rPr>
                <w:rFonts w:ascii="Cambria Math" w:hAnsi="Cambria Math"/>
                <w:color w:val="auto"/>
                <w:sz w:val="28"/>
                <w:szCs w:val="28"/>
              </w:rPr>
              <m:t>x</m:t>
            </m:r>
          </m:e>
        </m:d>
      </m:oMath>
      <w:r>
        <w:rPr>
          <w:color w:val="auto"/>
          <w:sz w:val="28"/>
          <w:szCs w:val="28"/>
        </w:rPr>
        <w:t xml:space="preserve"> obtenues comme images par les opérateurs de composition réciproques des opérateurs de Bernoulli et d’Euler. Cette approche originale nous a alors permis d’exploiter de nombreuses relations obtenues dans l’algèbre des opérateurs de composition sur l’espace vectoriel </w:t>
      </w:r>
      <m:oMath>
        <m:r>
          <m:rPr>
            <m:scr m:val="double-struck"/>
          </m:rPr>
          <w:rPr>
            <w:rFonts w:ascii="Cambria Math" w:hAnsi="Cambria Math"/>
            <w:color w:val="auto"/>
            <w:sz w:val="28"/>
            <w:szCs w:val="28"/>
          </w:rPr>
          <m:t>C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color w:val="auto"/>
                <w:sz w:val="28"/>
                <w:szCs w:val="28"/>
              </w:rPr>
            </m:ctrlPr>
          </m:dPr>
          <m:e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  <w:color w:val="auto"/>
                    <w:sz w:val="28"/>
                    <w:szCs w:val="28"/>
                  </w:rPr>
                </m:ctrlPr>
              </m:dPr>
              <m:e>
                <m:r>
                  <m:rPr>
                    <m:sty m:val="b"/>
                  </m:rPr>
                  <w:rPr>
                    <w:rFonts w:ascii="Cambria Math" w:hAnsi="Cambria Math"/>
                    <w:color w:val="auto"/>
                    <w:sz w:val="28"/>
                    <w:szCs w:val="28"/>
                  </w:rPr>
                  <m:t>D</m:t>
                </m:r>
              </m:e>
            </m:d>
          </m:e>
        </m:d>
      </m:oMath>
      <w:r>
        <w:rPr>
          <w:color w:val="auto"/>
          <w:sz w:val="28"/>
          <w:szCs w:val="28"/>
        </w:rPr>
        <w:t xml:space="preserve"> </w:t>
      </w:r>
    </w:p>
    <w:p w:rsidR="00974DC4" w:rsidRDefault="00974DC4" w:rsidP="00974DC4">
      <w:pPr>
        <w:rPr>
          <w:color w:val="auto"/>
          <w:sz w:val="28"/>
          <w:szCs w:val="28"/>
        </w:rPr>
      </w:pPr>
    </w:p>
    <w:p w:rsidR="00974DC4" w:rsidRDefault="00974DC4" w:rsidP="00974DC4">
      <w:pPr>
        <w:rPr>
          <w:b/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Mots clés : Nombres et polynômes de Bernoulli, Nombres et polynômes d’Euler, Polynômes de Stirling, Polynômes de </w:t>
      </w:r>
      <w:proofErr w:type="spellStart"/>
      <w:r>
        <w:rPr>
          <w:color w:val="auto"/>
          <w:sz w:val="28"/>
          <w:szCs w:val="28"/>
        </w:rPr>
        <w:t>Tchébychev</w:t>
      </w:r>
      <w:proofErr w:type="spellEnd"/>
      <w:r>
        <w:rPr>
          <w:color w:val="auto"/>
          <w:sz w:val="28"/>
          <w:szCs w:val="28"/>
        </w:rPr>
        <w:t>, Polynômes d’Hermite, Identités combinatoires.</w:t>
      </w:r>
    </w:p>
    <w:p w:rsidR="009953C8" w:rsidRPr="00B51F21" w:rsidRDefault="009953C8">
      <w:pPr>
        <w:rPr>
          <w:color w:val="000000"/>
          <w:sz w:val="28"/>
          <w:szCs w:val="28"/>
        </w:rPr>
      </w:pPr>
    </w:p>
    <w:sectPr w:rsidR="009953C8" w:rsidRPr="00B51F21" w:rsidSect="009953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51F21"/>
    <w:rsid w:val="000D0C4B"/>
    <w:rsid w:val="001D6A47"/>
    <w:rsid w:val="0022793D"/>
    <w:rsid w:val="002B459C"/>
    <w:rsid w:val="00356D07"/>
    <w:rsid w:val="00480CDD"/>
    <w:rsid w:val="004A09CF"/>
    <w:rsid w:val="004B62AF"/>
    <w:rsid w:val="005C1E16"/>
    <w:rsid w:val="005D217E"/>
    <w:rsid w:val="00783202"/>
    <w:rsid w:val="0079345B"/>
    <w:rsid w:val="007A531C"/>
    <w:rsid w:val="008109D1"/>
    <w:rsid w:val="0085751F"/>
    <w:rsid w:val="00875DCC"/>
    <w:rsid w:val="008D1298"/>
    <w:rsid w:val="00934D97"/>
    <w:rsid w:val="00974DC4"/>
    <w:rsid w:val="009953C8"/>
    <w:rsid w:val="00AE3BEA"/>
    <w:rsid w:val="00B51F21"/>
    <w:rsid w:val="00BB15FE"/>
    <w:rsid w:val="00BB1844"/>
    <w:rsid w:val="00BB50DE"/>
    <w:rsid w:val="00C078C8"/>
    <w:rsid w:val="00C66096"/>
    <w:rsid w:val="00D32C21"/>
    <w:rsid w:val="00D81A13"/>
    <w:rsid w:val="00EF0876"/>
    <w:rsid w:val="00F1763B"/>
    <w:rsid w:val="00F50C04"/>
    <w:rsid w:val="00FA65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1F21"/>
    <w:pPr>
      <w:suppressAutoHyphens/>
      <w:spacing w:after="0"/>
    </w:pPr>
    <w:rPr>
      <w:rFonts w:ascii="Times New Roman" w:eastAsia="Times New Roman" w:hAnsi="Times New Roman" w:cs="Times New Roman"/>
      <w:color w:val="000080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22793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2793D"/>
    <w:rPr>
      <w:rFonts w:ascii="Tahoma" w:eastAsia="Times New Roman" w:hAnsi="Tahoma" w:cs="Tahoma"/>
      <w:color w:val="000080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21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151</Words>
  <Characters>834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tassili</dc:creator>
  <cp:lastModifiedBy>Tarek Garici</cp:lastModifiedBy>
  <cp:revision>3</cp:revision>
  <cp:lastPrinted>2015-07-06T10:22:00Z</cp:lastPrinted>
  <dcterms:created xsi:type="dcterms:W3CDTF">2015-07-06T10:52:00Z</dcterms:created>
  <dcterms:modified xsi:type="dcterms:W3CDTF">2015-07-06T11:55:00Z</dcterms:modified>
</cp:coreProperties>
</file>