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2FEC" w:rsidRPr="004C4830" w:rsidRDefault="00A17BD7" w:rsidP="00A17BD7">
      <w:pPr>
        <w:spacing w:after="0"/>
        <w:rPr>
          <w:rFonts w:asciiTheme="majorBidi" w:hAnsiTheme="majorBidi" w:cstheme="majorBidi"/>
          <w:sz w:val="24"/>
          <w:szCs w:val="24"/>
        </w:rPr>
      </w:pPr>
      <w:r w:rsidRPr="004C4830">
        <w:rPr>
          <w:rFonts w:asciiTheme="majorBidi" w:hAnsiTheme="majorBidi" w:cstheme="majorBidi"/>
          <w:b/>
          <w:bCs/>
          <w:sz w:val="24"/>
          <w:szCs w:val="24"/>
          <w:u w:val="single"/>
        </w:rPr>
        <w:t>RÉSUMÉ</w:t>
      </w:r>
      <w:r w:rsidR="004C4830" w:rsidRPr="004C4830">
        <w:rPr>
          <w:rFonts w:asciiTheme="majorBidi" w:hAnsiTheme="majorBidi" w:cstheme="majorBidi"/>
          <w:b/>
          <w:bCs/>
          <w:sz w:val="24"/>
          <w:szCs w:val="24"/>
        </w:rPr>
        <w:t> :</w:t>
      </w:r>
    </w:p>
    <w:p w:rsidR="00954742" w:rsidRDefault="000F5AEC" w:rsidP="00AB5CD4">
      <w:pPr>
        <w:pStyle w:val="NormalWeb"/>
        <w:spacing w:before="0" w:beforeAutospacing="0" w:after="0" w:afterAutospacing="0" w:line="360" w:lineRule="auto"/>
        <w:rPr>
          <w:rFonts w:asciiTheme="majorBidi" w:hAnsiTheme="majorBidi" w:cstheme="majorBidi"/>
        </w:rPr>
      </w:pPr>
      <w:r>
        <w:rPr>
          <w:rFonts w:asciiTheme="majorBidi" w:hAnsiTheme="majorBidi" w:cstheme="majorBidi"/>
        </w:rPr>
        <w:t>L’objectif de cette thèse vise à évaluer le</w:t>
      </w:r>
      <w:r w:rsidR="00AB5CD4" w:rsidRPr="00AB5CD4">
        <w:rPr>
          <w:rFonts w:asciiTheme="majorBidi" w:hAnsiTheme="majorBidi" w:cstheme="majorBidi"/>
        </w:rPr>
        <w:t xml:space="preserve"> risque sismique (RS), défini comme la combinaison entre l’aléa et la vulnérabilité des bâtiments exposés aux risques naturels.</w:t>
      </w:r>
      <w:r w:rsidR="00AB5CD4">
        <w:rPr>
          <w:rFonts w:asciiTheme="majorBidi" w:hAnsiTheme="majorBidi" w:cstheme="majorBidi"/>
        </w:rPr>
        <w:t xml:space="preserve"> </w:t>
      </w:r>
      <w:r w:rsidR="00D62FEC">
        <w:t>Nous avons travaillé sur deux</w:t>
      </w:r>
      <w:r w:rsidR="00D62FEC">
        <w:rPr>
          <w:rFonts w:asciiTheme="majorBidi" w:hAnsiTheme="majorBidi" w:cstheme="majorBidi"/>
        </w:rPr>
        <w:t xml:space="preserve"> villes appartenant à deux contextes géologiques différents. La ville de Blida, zone urbanisée et située dans la structure du bassin de la Mitidja et la Ville Nouvelle de Sidi Abdallah (VNSA), en voie d’urbanisation, située sur la structure du Sahel. Elles sont classées en zone III, zones à forte sismicité selon le règlement parasismique algérien (RPA99/Version 2003).</w:t>
      </w:r>
    </w:p>
    <w:p w:rsidR="00160F24" w:rsidRDefault="000F5AEC" w:rsidP="00160F24">
      <w:pPr>
        <w:pStyle w:val="NormalWeb"/>
        <w:spacing w:before="0" w:beforeAutospacing="0" w:after="0" w:afterAutospacing="0" w:line="360" w:lineRule="auto"/>
      </w:pPr>
      <w:r>
        <w:t>Afin de contraindre le risque sismique des deux villes, n</w:t>
      </w:r>
      <w:r w:rsidR="00D62FEC">
        <w:t>ous avons men</w:t>
      </w:r>
      <w:r w:rsidR="007853C6">
        <w:t>é une campagne d’enregistrement</w:t>
      </w:r>
      <w:r w:rsidR="00D62FEC">
        <w:t xml:space="preserve"> de bruit de fond dans le cadre de cette thèse. L’analyse de ces données par la méthode HVSR, nous a permis de réaliser la carte de </w:t>
      </w:r>
      <w:r w:rsidR="009C15CD">
        <w:t xml:space="preserve">Microzonage </w:t>
      </w:r>
      <w:r w:rsidR="00D62FEC">
        <w:t xml:space="preserve">fréquentiel </w:t>
      </w:r>
      <w:r w:rsidR="00D62FEC" w:rsidRPr="008B5F37">
        <w:rPr>
          <w:i/>
          <w:iCs/>
        </w:rPr>
        <w:t>f</w:t>
      </w:r>
      <w:r w:rsidR="00D62FEC" w:rsidRPr="008B5F37">
        <w:rPr>
          <w:vertAlign w:val="subscript"/>
        </w:rPr>
        <w:t>0</w:t>
      </w:r>
      <w:r w:rsidR="009C15CD">
        <w:rPr>
          <w:vertAlign w:val="subscript"/>
        </w:rPr>
        <w:t xml:space="preserve"> </w:t>
      </w:r>
      <w:r w:rsidR="00D62FEC" w:rsidRPr="00A9239E">
        <w:t>des</w:t>
      </w:r>
      <w:r w:rsidR="00D62FEC">
        <w:t xml:space="preserve"> formations géologiques des deux villes. </w:t>
      </w:r>
      <w:r w:rsidR="00D62FEC" w:rsidRPr="00A219A7">
        <w:t>Cette carte servira comme support pour optimiser le plan d’urbanisation futur</w:t>
      </w:r>
      <w:r w:rsidR="007853C6">
        <w:t>e</w:t>
      </w:r>
      <w:r w:rsidR="00D62FEC" w:rsidRPr="00A219A7">
        <w:t>, afin</w:t>
      </w:r>
      <w:r w:rsidR="00160F24">
        <w:t xml:space="preserve"> </w:t>
      </w:r>
      <w:r w:rsidR="00D62FEC" w:rsidRPr="00A219A7">
        <w:t xml:space="preserve">d’éviter tout phénomène de résonance sol/structure. </w:t>
      </w:r>
    </w:p>
    <w:p w:rsidR="00D62FEC" w:rsidRDefault="00D62FEC" w:rsidP="00177D7D">
      <w:pPr>
        <w:pStyle w:val="NormalWeb"/>
        <w:spacing w:before="0" w:beforeAutospacing="0" w:after="0" w:afterAutospacing="0" w:line="360" w:lineRule="auto"/>
      </w:pPr>
      <w:r>
        <w:t xml:space="preserve">La carte de microzonage fréquentiel </w:t>
      </w:r>
      <w:r w:rsidR="00177D7D">
        <w:t>(</w:t>
      </w:r>
      <w:r w:rsidRPr="008B5F37">
        <w:rPr>
          <w:i/>
          <w:iCs/>
        </w:rPr>
        <w:t>f</w:t>
      </w:r>
      <w:r w:rsidRPr="008B5F37">
        <w:rPr>
          <w:vertAlign w:val="subscript"/>
        </w:rPr>
        <w:t>0</w:t>
      </w:r>
      <w:r w:rsidR="00177D7D">
        <w:t>) de la ville de Blida</w:t>
      </w:r>
      <w:r>
        <w:t>, corrélée aux données des sondages électriques verticaux, nous a permis de cartographie la géométrie du substratum (2D/3D</w:t>
      </w:r>
      <w:r w:rsidR="00177D7D">
        <w:t>) (Miocène) de la ville</w:t>
      </w:r>
      <w:r>
        <w:t>. Nous avons aussi réalisé une carte du facteur d’amplification de la ville de Blida, en intégrant l’indice de vulnérabilité sismique SVI afin d’évaluer le potentiel de liquéfaction. Au final, à partir de la carte du potentiel de liquéfaction, nous avons élaboré la carte</w:t>
      </w:r>
      <w:r w:rsidR="007853C6">
        <w:t xml:space="preserve"> </w:t>
      </w:r>
      <w:r>
        <w:t xml:space="preserve">du risque de déformation du sol. </w:t>
      </w:r>
    </w:p>
    <w:p w:rsidR="00D62FEC" w:rsidRDefault="00D62FEC" w:rsidP="00D62FEC">
      <w:pPr>
        <w:pStyle w:val="NormalWeb"/>
        <w:spacing w:before="0" w:beforeAutospacing="0" w:after="0" w:afterAutospacing="0" w:line="360" w:lineRule="auto"/>
      </w:pPr>
      <w:r>
        <w:t>Enfin, la carte du zonage fréquentiel conjuguée avec la base de données bâtiments, a permis de mettre en œuvre la carte de la vulnérabilité physique du bâti existant de la ville de Blida.</w:t>
      </w:r>
    </w:p>
    <w:p w:rsidR="00D62FEC" w:rsidRPr="00CB05E9" w:rsidRDefault="00D62FEC" w:rsidP="00D62FEC">
      <w:pPr>
        <w:pStyle w:val="NormalWeb"/>
        <w:spacing w:before="0" w:beforeAutospacing="0" w:after="0" w:afterAutospacing="0" w:line="360" w:lineRule="auto"/>
      </w:pPr>
      <w:r>
        <w:t>Dans la VNSA le volet c</w:t>
      </w:r>
      <w:r w:rsidRPr="007D3A0B">
        <w:t xml:space="preserve">aractérisation </w:t>
      </w:r>
      <w:r>
        <w:t>du s</w:t>
      </w:r>
      <w:r w:rsidRPr="007D3A0B">
        <w:t>ol</w:t>
      </w:r>
      <w:r>
        <w:t xml:space="preserve"> destiné à la réalisation d’un bon </w:t>
      </w:r>
      <w:r w:rsidRPr="0070016B">
        <w:t>schéma de classification géotechnique</w:t>
      </w:r>
      <w:r>
        <w:t xml:space="preserve"> de la ville a été établi pour pouvoir choisir le spectre de réponse réglementaire basé sur la classification du sol par V</w:t>
      </w:r>
      <w:r>
        <w:rPr>
          <w:vertAlign w:val="subscript"/>
        </w:rPr>
        <w:t>S</w:t>
      </w:r>
      <w:r>
        <w:t xml:space="preserve"> selon les recommandations RPA99/V2003.</w:t>
      </w:r>
    </w:p>
    <w:p w:rsidR="00D62FEC" w:rsidRPr="007A2A72" w:rsidRDefault="00D62FEC" w:rsidP="00177D7D">
      <w:pPr>
        <w:pStyle w:val="NormalWeb"/>
        <w:spacing w:before="0" w:beforeAutospacing="0" w:after="0" w:afterAutospacing="0" w:line="360" w:lineRule="auto"/>
        <w:rPr>
          <w:rFonts w:asciiTheme="majorBidi" w:hAnsiTheme="majorBidi" w:cstheme="majorBidi"/>
        </w:rPr>
      </w:pPr>
      <w:r>
        <w:rPr>
          <w:rFonts w:asciiTheme="majorBidi" w:hAnsiTheme="majorBidi" w:cstheme="majorBidi"/>
        </w:rPr>
        <w:t xml:space="preserve">Les résultats importants de cette thèse se traduisent par la réalisation de cartes stratégiques pour l’évaluation du risque sismique, en termes de zonage fréquentiel, de potentiel de liquéfaction et </w:t>
      </w:r>
      <w:r w:rsidR="00177D7D">
        <w:rPr>
          <w:rFonts w:asciiTheme="majorBidi" w:hAnsiTheme="majorBidi" w:cstheme="majorBidi"/>
        </w:rPr>
        <w:t xml:space="preserve">de </w:t>
      </w:r>
      <w:r>
        <w:rPr>
          <w:rFonts w:asciiTheme="majorBidi" w:hAnsiTheme="majorBidi" w:cstheme="majorBidi"/>
        </w:rPr>
        <w:t>déformation du sol pour l’étude de l’aléa local.</w:t>
      </w:r>
      <w:r w:rsidR="00177D7D">
        <w:rPr>
          <w:rFonts w:asciiTheme="majorBidi" w:hAnsiTheme="majorBidi" w:cstheme="majorBidi"/>
        </w:rPr>
        <w:t xml:space="preserve"> Et u</w:t>
      </w:r>
      <w:r>
        <w:rPr>
          <w:rFonts w:asciiTheme="majorBidi" w:hAnsiTheme="majorBidi" w:cstheme="majorBidi"/>
        </w:rPr>
        <w:t xml:space="preserve">n résultat fondamental obtenu est l’établissement de </w:t>
      </w:r>
      <w:r>
        <w:t>la carte de la vulnérabilité physique du bâti existant de la ville de Blida.</w:t>
      </w:r>
    </w:p>
    <w:p w:rsidR="00A825AC" w:rsidRDefault="00A825AC" w:rsidP="00177D7D">
      <w:pPr>
        <w:spacing w:line="276" w:lineRule="auto"/>
        <w:jc w:val="left"/>
        <w:rPr>
          <w:rFonts w:asciiTheme="majorBidi" w:hAnsiTheme="majorBidi" w:cstheme="majorBidi"/>
          <w:sz w:val="24"/>
          <w:szCs w:val="24"/>
        </w:rPr>
      </w:pPr>
      <w:bookmarkStart w:id="0" w:name="_GoBack"/>
      <w:bookmarkEnd w:id="0"/>
    </w:p>
    <w:sectPr w:rsidR="00A825AC" w:rsidSect="00E66AD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D62FEC"/>
    <w:rsid w:val="000F5AEC"/>
    <w:rsid w:val="00160F24"/>
    <w:rsid w:val="00177D7D"/>
    <w:rsid w:val="00253BB0"/>
    <w:rsid w:val="004C4830"/>
    <w:rsid w:val="0065473A"/>
    <w:rsid w:val="006B5AE4"/>
    <w:rsid w:val="007853C6"/>
    <w:rsid w:val="00822634"/>
    <w:rsid w:val="00954742"/>
    <w:rsid w:val="009C15CD"/>
    <w:rsid w:val="00A17BD7"/>
    <w:rsid w:val="00A219A7"/>
    <w:rsid w:val="00A825AC"/>
    <w:rsid w:val="00AB5CD4"/>
    <w:rsid w:val="00D16CAA"/>
    <w:rsid w:val="00D62FEC"/>
    <w:rsid w:val="00E66AD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85DE691-355E-4B36-BF95-C03B89D4B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2FEC"/>
    <w:pPr>
      <w:spacing w:line="360" w:lineRule="auto"/>
      <w:jc w:val="both"/>
    </w:pPr>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D62FEC"/>
    <w:rPr>
      <w:color w:val="0000FF" w:themeColor="hyperlink"/>
      <w:u w:val="single"/>
    </w:rPr>
  </w:style>
  <w:style w:type="paragraph" w:styleId="NormalWeb">
    <w:name w:val="Normal (Web)"/>
    <w:basedOn w:val="Normal"/>
    <w:uiPriority w:val="99"/>
    <w:unhideWhenUsed/>
    <w:rsid w:val="00D62FEC"/>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1</Pages>
  <Words>367</Words>
  <Characters>2020</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ASSIA BOUCHELOUH</dc:creator>
  <cp:keywords/>
  <dc:description/>
  <cp:lastModifiedBy>naima</cp:lastModifiedBy>
  <cp:revision>10</cp:revision>
  <dcterms:created xsi:type="dcterms:W3CDTF">2018-03-15T08:42:00Z</dcterms:created>
  <dcterms:modified xsi:type="dcterms:W3CDTF">2018-10-11T12:21:00Z</dcterms:modified>
</cp:coreProperties>
</file>